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BA026" w14:textId="77777777" w:rsidR="000D2CBF" w:rsidRPr="000D2CBF" w:rsidRDefault="000D2CBF" w:rsidP="000D2CBF">
      <w:pPr>
        <w:pStyle w:val="SLONormal"/>
        <w:rPr>
          <w:b/>
          <w:bCs/>
        </w:rPr>
      </w:pPr>
      <w:r w:rsidRPr="000D2CBF">
        <w:rPr>
          <w:b/>
          <w:bCs/>
          <w:noProof/>
        </w:rPr>
        <w:drawing>
          <wp:inline distT="0" distB="0" distL="0" distR="0" wp14:anchorId="73709AFB" wp14:editId="41F6716A">
            <wp:extent cx="1460500" cy="558800"/>
            <wp:effectExtent l="0" t="0" r="6350" b="0"/>
            <wp:docPr id="1771449916" name="Picture 2" descr="Logo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558800"/>
                    </a:xfrm>
                    <a:prstGeom prst="rect">
                      <a:avLst/>
                    </a:prstGeom>
                    <a:noFill/>
                    <a:ln>
                      <a:noFill/>
                    </a:ln>
                  </pic:spPr>
                </pic:pic>
              </a:graphicData>
            </a:graphic>
          </wp:inline>
        </w:drawing>
      </w:r>
    </w:p>
    <w:p w14:paraId="717B9F21" w14:textId="77777777" w:rsidR="000D2CBF" w:rsidRPr="000D2CBF" w:rsidRDefault="000D2CBF" w:rsidP="000D2CBF">
      <w:pPr>
        <w:pStyle w:val="SLONormal"/>
        <w:rPr>
          <w:b/>
          <w:bCs/>
          <w:lang w:val="fi-FI"/>
        </w:rPr>
      </w:pPr>
      <w:r w:rsidRPr="000D2CBF">
        <w:rPr>
          <w:b/>
          <w:bCs/>
          <w:lang w:val="fi-FI"/>
        </w:rPr>
        <w:tab/>
      </w:r>
      <w:r w:rsidRPr="000D2CBF">
        <w:rPr>
          <w:b/>
          <w:bCs/>
          <w:lang w:val="fi-FI"/>
        </w:rPr>
        <w:tab/>
      </w:r>
      <w:r w:rsidRPr="000D2CBF">
        <w:rPr>
          <w:b/>
          <w:bCs/>
          <w:lang w:val="fi-FI"/>
        </w:rPr>
        <w:tab/>
      </w:r>
      <w:r w:rsidRPr="000D2CBF">
        <w:rPr>
          <w:b/>
          <w:bCs/>
          <w:lang w:val="fi-FI"/>
        </w:rPr>
        <w:tab/>
      </w:r>
    </w:p>
    <w:p w14:paraId="2E94A036" w14:textId="77777777" w:rsidR="000D2CBF" w:rsidRPr="000D2CBF" w:rsidRDefault="000D2CBF" w:rsidP="000D2CBF">
      <w:pPr>
        <w:pStyle w:val="SLONormal"/>
        <w:rPr>
          <w:b/>
          <w:bCs/>
          <w:lang w:val="fi-FI"/>
        </w:rPr>
      </w:pPr>
      <w:r w:rsidRPr="000D2CBF">
        <w:rPr>
          <w:b/>
          <w:bCs/>
          <w:lang w:val="fi-FI"/>
        </w:rPr>
        <w:tab/>
      </w:r>
      <w:r w:rsidRPr="000D2CBF">
        <w:rPr>
          <w:b/>
          <w:bCs/>
          <w:lang w:val="fi-FI"/>
        </w:rPr>
        <w:tab/>
      </w:r>
      <w:r w:rsidRPr="000D2CBF">
        <w:rPr>
          <w:b/>
          <w:bCs/>
          <w:lang w:val="fi-FI"/>
        </w:rPr>
        <w:tab/>
      </w:r>
      <w:r w:rsidRPr="000D2CBF">
        <w:rPr>
          <w:b/>
          <w:bCs/>
          <w:lang w:val="fi-FI"/>
        </w:rPr>
        <w:tab/>
      </w:r>
      <w:r w:rsidRPr="000D2CBF">
        <w:rPr>
          <w:b/>
          <w:bCs/>
          <w:lang w:val="fi-FI"/>
        </w:rPr>
        <w:tab/>
        <w:t xml:space="preserve">                                                                        </w:t>
      </w:r>
      <w:r w:rsidRPr="009122D2">
        <w:rPr>
          <w:lang w:val="fi-FI"/>
        </w:rPr>
        <w:t>2</w:t>
      </w:r>
      <w:r w:rsidRPr="2F7A0912">
        <w:rPr>
          <w:lang w:val="fi-FI"/>
        </w:rPr>
        <w:t>8.04.2025</w:t>
      </w:r>
    </w:p>
    <w:p w14:paraId="16D30EC3" w14:textId="77777777" w:rsidR="000D2CBF" w:rsidRPr="005F451F" w:rsidRDefault="000D2CBF" w:rsidP="005F451F">
      <w:pPr>
        <w:rPr>
          <w:rFonts w:ascii="Times New Roman" w:eastAsia="Times New Roman" w:hAnsi="Times New Roman" w:cs="Times New Roman"/>
          <w:b/>
          <w:caps/>
          <w:spacing w:val="20"/>
          <w:sz w:val="24"/>
          <w:szCs w:val="24"/>
        </w:rPr>
      </w:pPr>
    </w:p>
    <w:p w14:paraId="39EA0BD5" w14:textId="77777777" w:rsidR="005F451F" w:rsidRPr="005F451F" w:rsidRDefault="005F451F" w:rsidP="00F21C16">
      <w:pPr>
        <w:jc w:val="both"/>
        <w:rPr>
          <w:rFonts w:ascii="Times New Roman" w:eastAsia="Times New Roman" w:hAnsi="Times New Roman" w:cs="Times New Roman"/>
          <w:b/>
          <w:caps/>
          <w:spacing w:val="20"/>
          <w:sz w:val="24"/>
          <w:szCs w:val="24"/>
        </w:rPr>
      </w:pPr>
      <w:r w:rsidRPr="005F451F">
        <w:rPr>
          <w:rFonts w:ascii="Times New Roman" w:eastAsia="Times New Roman" w:hAnsi="Times New Roman" w:cs="Times New Roman"/>
          <w:b/>
          <w:caps/>
          <w:spacing w:val="20"/>
          <w:sz w:val="24"/>
          <w:szCs w:val="24"/>
        </w:rPr>
        <w:t>Tagasiside ja ettepanekud Keskkonnaameti 07.03.2025 juhend</w:t>
      </w:r>
      <w:r w:rsidR="00134C49">
        <w:rPr>
          <w:rFonts w:ascii="Times New Roman" w:eastAsia="Times New Roman" w:hAnsi="Times New Roman" w:cs="Times New Roman"/>
          <w:b/>
          <w:caps/>
          <w:spacing w:val="20"/>
          <w:sz w:val="24"/>
          <w:szCs w:val="24"/>
        </w:rPr>
        <w:t>ile</w:t>
      </w:r>
      <w:r w:rsidRPr="005F451F">
        <w:rPr>
          <w:rFonts w:ascii="Times New Roman" w:eastAsia="Times New Roman" w:hAnsi="Times New Roman" w:cs="Times New Roman"/>
          <w:b/>
          <w:caps/>
          <w:spacing w:val="20"/>
          <w:sz w:val="24"/>
          <w:szCs w:val="24"/>
        </w:rPr>
        <w:t xml:space="preserve"> </w:t>
      </w:r>
      <w:r w:rsidR="00BE0611" w:rsidRPr="005F451F">
        <w:rPr>
          <w:rFonts w:ascii="Times New Roman" w:eastAsia="Times New Roman" w:hAnsi="Times New Roman" w:cs="Times New Roman"/>
          <w:b/>
          <w:caps/>
          <w:spacing w:val="20"/>
          <w:sz w:val="24"/>
          <w:szCs w:val="24"/>
        </w:rPr>
        <w:t>kaitsealusele liigile või loodusdirektiivi elupaigatüübile lähtuvalt antud väärtus(</w:t>
      </w:r>
      <w:r w:rsidR="00BE0611" w:rsidRPr="5B535861">
        <w:rPr>
          <w:rFonts w:ascii="Times New Roman" w:eastAsia="Times New Roman" w:hAnsi="Times New Roman" w:cs="Times New Roman"/>
          <w:b/>
          <w:bCs/>
          <w:caps/>
          <w:spacing w:val="20"/>
          <w:sz w:val="24"/>
          <w:szCs w:val="24"/>
        </w:rPr>
        <w:t>t</w:t>
      </w:r>
      <w:r w:rsidR="00BE0611" w:rsidRPr="005F451F">
        <w:rPr>
          <w:rFonts w:ascii="Times New Roman" w:eastAsia="Times New Roman" w:hAnsi="Times New Roman" w:cs="Times New Roman"/>
          <w:b/>
          <w:caps/>
          <w:spacing w:val="20"/>
          <w:sz w:val="24"/>
          <w:szCs w:val="24"/>
        </w:rPr>
        <w:t>)e üleriigilise soodsa seisundi tagamise vajadusest</w:t>
      </w:r>
    </w:p>
    <w:p w14:paraId="62D4BEAC" w14:textId="77777777" w:rsidR="00BE0611" w:rsidRDefault="00BE0611" w:rsidP="0070698F">
      <w:pPr>
        <w:pStyle w:val="SLONormal"/>
        <w:rPr>
          <w:lang w:val="et-EE"/>
        </w:rPr>
      </w:pPr>
    </w:p>
    <w:p w14:paraId="16A3B397" w14:textId="77777777" w:rsidR="00BE0611" w:rsidRDefault="00BE0611" w:rsidP="00BE0611">
      <w:pPr>
        <w:pStyle w:val="1stlevelheading"/>
      </w:pPr>
      <w:r>
        <w:t>Kokkuvõte</w:t>
      </w:r>
    </w:p>
    <w:p w14:paraId="212D58F0" w14:textId="77777777" w:rsidR="00BE0611" w:rsidRPr="00F21C16" w:rsidRDefault="00BE0611" w:rsidP="00BE0611">
      <w:pPr>
        <w:pStyle w:val="NCNumbering"/>
        <w:rPr>
          <w:lang w:val="et-EE"/>
        </w:rPr>
      </w:pPr>
      <w:r w:rsidRPr="00F21C16">
        <w:rPr>
          <w:lang w:val="et-EE"/>
        </w:rPr>
        <w:t xml:space="preserve">Keskkonnaamet </w:t>
      </w:r>
      <w:r w:rsidR="00F21C16" w:rsidRPr="00F21C16">
        <w:rPr>
          <w:lang w:val="et-EE"/>
        </w:rPr>
        <w:t xml:space="preserve">(edaspidi </w:t>
      </w:r>
      <w:r w:rsidR="00F21C16" w:rsidRPr="00F21C16">
        <w:rPr>
          <w:b/>
          <w:bCs/>
          <w:lang w:val="et-EE"/>
        </w:rPr>
        <w:t>KeA</w:t>
      </w:r>
      <w:r w:rsidR="00F21C16" w:rsidRPr="00F21C16">
        <w:rPr>
          <w:lang w:val="et-EE"/>
        </w:rPr>
        <w:t xml:space="preserve">) </w:t>
      </w:r>
      <w:r w:rsidRPr="00F21C16">
        <w:rPr>
          <w:lang w:val="et-EE"/>
        </w:rPr>
        <w:t xml:space="preserve">on palunud tagasiside </w:t>
      </w:r>
      <w:r w:rsidR="00F21C16" w:rsidRPr="00F21C16">
        <w:rPr>
          <w:lang w:val="et-EE"/>
        </w:rPr>
        <w:t xml:space="preserve">ja ettepanekuid 07.03.2025 </w:t>
      </w:r>
      <w:r w:rsidR="00636CA8">
        <w:rPr>
          <w:lang w:val="et-EE"/>
        </w:rPr>
        <w:t>juhendile</w:t>
      </w:r>
      <w:r w:rsidR="00F21C16" w:rsidRPr="00F21C16">
        <w:rPr>
          <w:lang w:val="et-EE"/>
        </w:rPr>
        <w:t xml:space="preserve"> „Maavara (pealmaa-) kaevandamisega tekkida võiva mõju hindamise juhend kaitsealusele liigile või loodusdirektiivi elupaigatüübile lähtuvalt antud väärtus(te)e üleriigilise soodsa seisundi tagamise vajadusest“ </w:t>
      </w:r>
      <w:r w:rsidRPr="00F21C16">
        <w:rPr>
          <w:lang w:val="et-EE"/>
        </w:rPr>
        <w:t xml:space="preserve">(edaspidi </w:t>
      </w:r>
      <w:r w:rsidRPr="00F21C16">
        <w:rPr>
          <w:b/>
          <w:bCs/>
          <w:lang w:val="et-EE"/>
        </w:rPr>
        <w:t>Juhend</w:t>
      </w:r>
      <w:r w:rsidR="00F21C16">
        <w:rPr>
          <w:lang w:val="et-EE"/>
        </w:rPr>
        <w:t>)</w:t>
      </w:r>
      <w:r w:rsidR="00156526">
        <w:rPr>
          <w:lang w:val="et-EE"/>
        </w:rPr>
        <w:t xml:space="preserve">. </w:t>
      </w:r>
      <w:r w:rsidRPr="00F21C16">
        <w:rPr>
          <w:lang w:val="et-EE"/>
        </w:rPr>
        <w:t>Käesolevaga eda</w:t>
      </w:r>
      <w:r w:rsidR="00636CA8">
        <w:rPr>
          <w:lang w:val="et-EE"/>
        </w:rPr>
        <w:t>s</w:t>
      </w:r>
      <w:r w:rsidRPr="00F21C16">
        <w:rPr>
          <w:lang w:val="et-EE"/>
        </w:rPr>
        <w:t xml:space="preserve">tab MTÜ Turbaliit Juhendile tagasiside ja ettepanekud. </w:t>
      </w:r>
    </w:p>
    <w:p w14:paraId="63B9A1B0" w14:textId="77777777" w:rsidR="00B355B9" w:rsidRDefault="0078576A" w:rsidP="007E3EBB">
      <w:pPr>
        <w:pStyle w:val="NCNumbering"/>
        <w:rPr>
          <w:lang w:val="et-EE"/>
        </w:rPr>
      </w:pPr>
      <w:r>
        <w:rPr>
          <w:lang w:val="et-EE"/>
        </w:rPr>
        <w:t xml:space="preserve">Juhendiga </w:t>
      </w:r>
      <w:r w:rsidR="00BB124E" w:rsidRPr="00BB124E">
        <w:rPr>
          <w:lang w:val="et-EE"/>
        </w:rPr>
        <w:t xml:space="preserve">toetate eesmärki ühtlustada </w:t>
      </w:r>
      <w:r w:rsidR="0040176D" w:rsidRPr="23FDA690">
        <w:rPr>
          <w:lang w:val="et-EE"/>
        </w:rPr>
        <w:t>keskkonnamõj</w:t>
      </w:r>
      <w:r w:rsidR="06865F81" w:rsidRPr="23FDA690">
        <w:rPr>
          <w:lang w:val="et-EE"/>
        </w:rPr>
        <w:t>u</w:t>
      </w:r>
      <w:r w:rsidR="0040176D" w:rsidRPr="23FDA690">
        <w:rPr>
          <w:lang w:val="et-EE"/>
        </w:rPr>
        <w:t>de</w:t>
      </w:r>
      <w:r w:rsidR="0040176D">
        <w:rPr>
          <w:lang w:val="et-EE"/>
        </w:rPr>
        <w:t xml:space="preserve"> hindamisega (edaspidi </w:t>
      </w:r>
      <w:r w:rsidR="00BB124E" w:rsidRPr="00893F46">
        <w:rPr>
          <w:b/>
          <w:bCs/>
          <w:lang w:val="et-EE"/>
        </w:rPr>
        <w:t>KMH</w:t>
      </w:r>
      <w:r w:rsidR="0040176D">
        <w:rPr>
          <w:lang w:val="et-EE"/>
        </w:rPr>
        <w:t>)</w:t>
      </w:r>
      <w:r w:rsidR="00BB124E" w:rsidRPr="00BB124E">
        <w:rPr>
          <w:lang w:val="et-EE"/>
        </w:rPr>
        <w:t xml:space="preserve"> seonduvat praktikat ning võrreldavate kaalutluste tegemist erinevates menetlustes</w:t>
      </w:r>
      <w:r>
        <w:rPr>
          <w:lang w:val="et-EE"/>
        </w:rPr>
        <w:t xml:space="preserve">. </w:t>
      </w:r>
      <w:r w:rsidR="00BB124E" w:rsidRPr="00BB124E">
        <w:rPr>
          <w:lang w:val="et-EE"/>
        </w:rPr>
        <w:t>Haldusaktide kvaliteedi tõstmine on kindlasti hea eesmärk</w:t>
      </w:r>
      <w:r w:rsidR="00A85859">
        <w:rPr>
          <w:lang w:val="et-EE"/>
        </w:rPr>
        <w:t xml:space="preserve"> ning see aitab vältida </w:t>
      </w:r>
      <w:r w:rsidR="00846D3E">
        <w:rPr>
          <w:lang w:val="et-EE"/>
        </w:rPr>
        <w:t xml:space="preserve">edaspidi Elbu V keskkonnaloaga </w:t>
      </w:r>
      <w:r w:rsidR="00A85859">
        <w:rPr>
          <w:lang w:val="et-EE"/>
        </w:rPr>
        <w:t xml:space="preserve">sarnaseid vaidlusi. </w:t>
      </w:r>
    </w:p>
    <w:p w14:paraId="637CC71C" w14:textId="77777777" w:rsidR="00B355B9" w:rsidRPr="00693AFD" w:rsidRDefault="00B355B9" w:rsidP="00B355B9">
      <w:pPr>
        <w:pStyle w:val="NCNumbering"/>
        <w:rPr>
          <w:u w:val="single"/>
          <w:lang w:val="et-EE"/>
        </w:rPr>
      </w:pPr>
      <w:r>
        <w:rPr>
          <w:lang w:val="et-EE"/>
        </w:rPr>
        <w:t xml:space="preserve">Juhend on suunatud </w:t>
      </w:r>
      <w:r w:rsidR="004C269A">
        <w:rPr>
          <w:lang w:val="et-EE"/>
        </w:rPr>
        <w:t>k</w:t>
      </w:r>
      <w:r w:rsidR="00C52607">
        <w:rPr>
          <w:lang w:val="et-EE"/>
        </w:rPr>
        <w:t xml:space="preserve">eskkonnaseadustiku </w:t>
      </w:r>
      <w:r w:rsidR="00327EF2">
        <w:rPr>
          <w:lang w:val="et-EE"/>
        </w:rPr>
        <w:t>ü</w:t>
      </w:r>
      <w:r w:rsidR="00C52607">
        <w:rPr>
          <w:lang w:val="et-EE"/>
        </w:rPr>
        <w:t>ldosa seaduse (</w:t>
      </w:r>
      <w:r>
        <w:rPr>
          <w:lang w:val="et-EE"/>
        </w:rPr>
        <w:t>KeÜS</w:t>
      </w:r>
      <w:r w:rsidR="00C52607">
        <w:rPr>
          <w:lang w:val="et-EE"/>
        </w:rPr>
        <w:t>)</w:t>
      </w:r>
      <w:r>
        <w:rPr>
          <w:lang w:val="et-EE"/>
        </w:rPr>
        <w:t xml:space="preserve"> § 52 lg 1 p 6 alusel kaalutlusotsuse </w:t>
      </w:r>
      <w:r w:rsidR="00327EF2">
        <w:rPr>
          <w:lang w:val="et-EE"/>
        </w:rPr>
        <w:t>tegemisele.</w:t>
      </w:r>
      <w:r>
        <w:rPr>
          <w:lang w:val="et-EE"/>
        </w:rPr>
        <w:t xml:space="preserve"> </w:t>
      </w:r>
      <w:r w:rsidRPr="00061BA4">
        <w:rPr>
          <w:lang w:val="et-EE"/>
        </w:rPr>
        <w:t xml:space="preserve">KeÜS § 52 lg 1 p 6 kohaselt võib keskkonnaloast keelduda, kui tegevusega kaasneb keskkonnaoht, mida ei ole võimalik vältida, välja arvatud juhul, kui huvi keskkonnaloa andmiseks on ülekaalukas ja tegevusel puudub mõistlik alternatiiv ning on võetud ohu vähendamise meetmed. </w:t>
      </w:r>
      <w:r w:rsidR="5BE95904" w:rsidRPr="3FEB8997">
        <w:rPr>
          <w:lang w:val="et-EE"/>
        </w:rPr>
        <w:t>Tegu on</w:t>
      </w:r>
      <w:r w:rsidR="31F7C7A7" w:rsidRPr="3FEB8997">
        <w:rPr>
          <w:lang w:val="et-EE"/>
        </w:rPr>
        <w:t xml:space="preserve"> kaalutlussõiguse </w:t>
      </w:r>
      <w:r>
        <w:rPr>
          <w:lang w:val="et-EE"/>
        </w:rPr>
        <w:t xml:space="preserve"> alusega, mida KeA võib, aga ei pea kohaldama. </w:t>
      </w:r>
      <w:r w:rsidR="006E1D9E">
        <w:rPr>
          <w:lang w:val="et-EE"/>
        </w:rPr>
        <w:t xml:space="preserve">Samas </w:t>
      </w:r>
      <w:r w:rsidR="00E2013D">
        <w:rPr>
          <w:lang w:val="et-EE"/>
        </w:rPr>
        <w:t xml:space="preserve">Juhend keskendub ainult </w:t>
      </w:r>
      <w:r w:rsidR="000E6273">
        <w:rPr>
          <w:lang w:val="et-EE"/>
        </w:rPr>
        <w:t xml:space="preserve">keskkonnaohule. </w:t>
      </w:r>
      <w:r w:rsidRPr="00693AFD">
        <w:rPr>
          <w:u w:val="single"/>
          <w:lang w:val="et-EE"/>
        </w:rPr>
        <w:t xml:space="preserve">Selleks, et kaalutlusotsust teha, tuleks Juhendis tuua välja normis sisalduvad elemendid ning nende selgitused, sh </w:t>
      </w:r>
      <w:r w:rsidRPr="5B535861">
        <w:rPr>
          <w:u w:val="single"/>
          <w:lang w:val="et-EE"/>
        </w:rPr>
        <w:t xml:space="preserve">kohtupraktika. </w:t>
      </w:r>
    </w:p>
    <w:p w14:paraId="44EF65C6" w14:textId="77777777" w:rsidR="00AD14F7" w:rsidRPr="007E3EBB" w:rsidRDefault="001369AD" w:rsidP="007E3EBB">
      <w:pPr>
        <w:pStyle w:val="NCNumbering"/>
        <w:rPr>
          <w:lang w:val="et-EE"/>
        </w:rPr>
      </w:pPr>
      <w:r w:rsidRPr="000E6273">
        <w:rPr>
          <w:lang w:val="et-EE"/>
        </w:rPr>
        <w:t>Juhendist</w:t>
      </w:r>
      <w:r w:rsidR="00E2013D" w:rsidRPr="00693AFD">
        <w:rPr>
          <w:lang w:val="et-EE"/>
        </w:rPr>
        <w:t xml:space="preserve"> ei selgu</w:t>
      </w:r>
      <w:r w:rsidRPr="000E6273">
        <w:rPr>
          <w:lang w:val="et-EE"/>
        </w:rPr>
        <w:t>, kuidas see seondub KMH menetlustega</w:t>
      </w:r>
      <w:r w:rsidR="001D7CA2" w:rsidRPr="000E6273">
        <w:rPr>
          <w:lang w:val="et-EE"/>
        </w:rPr>
        <w:t xml:space="preserve"> ning jääb mulje </w:t>
      </w:r>
      <w:r w:rsidR="0040176D" w:rsidRPr="000E6273">
        <w:rPr>
          <w:lang w:val="et-EE"/>
        </w:rPr>
        <w:t>justkui edas</w:t>
      </w:r>
      <w:r w:rsidRPr="000E6273">
        <w:rPr>
          <w:lang w:val="et-EE"/>
        </w:rPr>
        <w:t xml:space="preserve">pidi </w:t>
      </w:r>
      <w:r w:rsidR="001D7CA2" w:rsidRPr="000E6273">
        <w:rPr>
          <w:lang w:val="et-EE"/>
        </w:rPr>
        <w:t xml:space="preserve">toimub </w:t>
      </w:r>
      <w:r w:rsidRPr="000E6273">
        <w:rPr>
          <w:lang w:val="et-EE"/>
        </w:rPr>
        <w:t>keskkonnaohu tuvastamine</w:t>
      </w:r>
      <w:r w:rsidR="00F624F6">
        <w:rPr>
          <w:lang w:val="et-EE"/>
        </w:rPr>
        <w:t xml:space="preserve"> ning selle hindamine</w:t>
      </w:r>
      <w:r w:rsidRPr="000E6273">
        <w:rPr>
          <w:lang w:val="et-EE"/>
        </w:rPr>
        <w:t xml:space="preserve"> </w:t>
      </w:r>
      <w:r w:rsidR="00491927" w:rsidRPr="000E6273">
        <w:rPr>
          <w:lang w:val="et-EE"/>
        </w:rPr>
        <w:t>KMH väliselt</w:t>
      </w:r>
      <w:r w:rsidR="004B4276">
        <w:rPr>
          <w:lang w:val="et-EE"/>
        </w:rPr>
        <w:t xml:space="preserve"> ning haldusväliseid eksperte kaasamata</w:t>
      </w:r>
      <w:r w:rsidR="00491927" w:rsidRPr="000E6273">
        <w:rPr>
          <w:lang w:val="et-EE"/>
        </w:rPr>
        <w:t>.</w:t>
      </w:r>
      <w:r w:rsidR="00491927">
        <w:rPr>
          <w:lang w:val="et-EE"/>
        </w:rPr>
        <w:t xml:space="preserve"> Eeldame, et </w:t>
      </w:r>
      <w:r w:rsidR="00DF0DFC">
        <w:rPr>
          <w:lang w:val="et-EE"/>
        </w:rPr>
        <w:t xml:space="preserve">see ei olnud KeA eesmärk. </w:t>
      </w:r>
      <w:r w:rsidR="00F624F6" w:rsidRPr="00143DC8">
        <w:rPr>
          <w:u w:val="single"/>
          <w:lang w:val="et-EE"/>
        </w:rPr>
        <w:t>P</w:t>
      </w:r>
      <w:r w:rsidR="00E50746" w:rsidRPr="007E3EBB">
        <w:rPr>
          <w:u w:val="single"/>
          <w:lang w:val="et-EE"/>
        </w:rPr>
        <w:t xml:space="preserve">alume täiendada </w:t>
      </w:r>
      <w:r w:rsidR="00CF2F90">
        <w:rPr>
          <w:u w:val="single"/>
          <w:lang w:val="et-EE"/>
        </w:rPr>
        <w:t xml:space="preserve">või lisada </w:t>
      </w:r>
      <w:r w:rsidR="00B82311">
        <w:rPr>
          <w:u w:val="single"/>
          <w:lang w:val="et-EE"/>
        </w:rPr>
        <w:t>joonis</w:t>
      </w:r>
      <w:r w:rsidR="00CF2F90">
        <w:rPr>
          <w:u w:val="single"/>
          <w:lang w:val="et-EE"/>
        </w:rPr>
        <w:t xml:space="preserve">, millest </w:t>
      </w:r>
      <w:r w:rsidR="00E625CB" w:rsidRPr="007E3EBB">
        <w:rPr>
          <w:u w:val="single"/>
          <w:lang w:val="et-EE"/>
        </w:rPr>
        <w:t>nähtu</w:t>
      </w:r>
      <w:r w:rsidR="00C52746">
        <w:rPr>
          <w:u w:val="single"/>
          <w:lang w:val="et-EE"/>
        </w:rPr>
        <w:t>b</w:t>
      </w:r>
      <w:r w:rsidR="00E625CB" w:rsidRPr="007E3EBB">
        <w:rPr>
          <w:u w:val="single"/>
          <w:lang w:val="et-EE"/>
        </w:rPr>
        <w:t xml:space="preserve"> andmete kasutamine ja </w:t>
      </w:r>
      <w:r w:rsidR="7CCB83D0" w:rsidRPr="4F70AF31">
        <w:rPr>
          <w:u w:val="single"/>
          <w:lang w:val="et-EE"/>
        </w:rPr>
        <w:t>otsustusprotsess</w:t>
      </w:r>
      <w:r w:rsidR="00E625CB" w:rsidRPr="007E3EBB">
        <w:rPr>
          <w:u w:val="single"/>
          <w:lang w:val="et-EE"/>
        </w:rPr>
        <w:t xml:space="preserve"> </w:t>
      </w:r>
      <w:r w:rsidR="006E1823">
        <w:rPr>
          <w:u w:val="single"/>
          <w:lang w:val="et-EE"/>
        </w:rPr>
        <w:t>seoses eelhinnangute ja KMH asjakohasuse hindamise</w:t>
      </w:r>
      <w:r w:rsidR="00D94520">
        <w:rPr>
          <w:u w:val="single"/>
          <w:lang w:val="et-EE"/>
        </w:rPr>
        <w:t>ga</w:t>
      </w:r>
      <w:r w:rsidR="00E97E84">
        <w:rPr>
          <w:u w:val="single"/>
          <w:lang w:val="et-EE"/>
        </w:rPr>
        <w:t>.</w:t>
      </w:r>
    </w:p>
    <w:p w14:paraId="2F202649" w14:textId="77777777" w:rsidR="00790173" w:rsidRPr="001B0EA4" w:rsidRDefault="005D271A" w:rsidP="00F50C86">
      <w:pPr>
        <w:pStyle w:val="NCNumbering"/>
        <w:rPr>
          <w:lang w:val="et-EE"/>
        </w:rPr>
      </w:pPr>
      <w:r w:rsidRPr="00693AFD">
        <w:rPr>
          <w:lang w:val="et-EE"/>
        </w:rPr>
        <w:t xml:space="preserve">Juhend eeldab, et </w:t>
      </w:r>
      <w:r w:rsidR="00E97E84" w:rsidRPr="00693AFD">
        <w:rPr>
          <w:lang w:val="et-EE"/>
        </w:rPr>
        <w:t xml:space="preserve">kaevanduse alal </w:t>
      </w:r>
      <w:r w:rsidRPr="00693AFD">
        <w:rPr>
          <w:lang w:val="et-EE"/>
        </w:rPr>
        <w:t xml:space="preserve">elupaigatüübi </w:t>
      </w:r>
      <w:r w:rsidR="00E97E84" w:rsidRPr="00693AFD">
        <w:rPr>
          <w:lang w:val="et-EE"/>
        </w:rPr>
        <w:t xml:space="preserve">või kaitsealuse liigi </w:t>
      </w:r>
      <w:r w:rsidRPr="00693AFD">
        <w:rPr>
          <w:lang w:val="et-EE"/>
        </w:rPr>
        <w:t>tuvastami</w:t>
      </w:r>
      <w:r w:rsidR="00D91B8B" w:rsidRPr="00693AFD">
        <w:rPr>
          <w:lang w:val="et-EE"/>
        </w:rPr>
        <w:t>ne on üldreeglina alus loa andmisest keeldumiseks</w:t>
      </w:r>
      <w:r w:rsidR="007B1B5F" w:rsidRPr="00693AFD">
        <w:rPr>
          <w:lang w:val="et-EE"/>
        </w:rPr>
        <w:t>.</w:t>
      </w:r>
      <w:r w:rsidR="00F149AF" w:rsidRPr="5B535861">
        <w:rPr>
          <w:rStyle w:val="Heading1Char"/>
          <w:rFonts w:eastAsiaTheme="minorEastAsia"/>
          <w:lang w:val="et-EE"/>
        </w:rPr>
        <w:t xml:space="preserve"> </w:t>
      </w:r>
      <w:r w:rsidR="00491927">
        <w:rPr>
          <w:lang w:val="et-EE"/>
        </w:rPr>
        <w:t xml:space="preserve">See on ebaõige, </w:t>
      </w:r>
      <w:r w:rsidR="00604A4A">
        <w:rPr>
          <w:lang w:val="et-EE"/>
        </w:rPr>
        <w:t>sest kohtupraktika ning KeA varasemate kinnituste kohaselt i</w:t>
      </w:r>
      <w:r w:rsidR="00604A4A" w:rsidRPr="00F149AF">
        <w:rPr>
          <w:rFonts w:ascii="TimesNewRomanPSMT" w:hAnsi="TimesNewRomanPSMT"/>
          <w:color w:val="000000"/>
          <w:kern w:val="0"/>
          <w:lang w:val="et-EE"/>
        </w:rPr>
        <w:t xml:space="preserve">ga individuaalset elupaigatüüpi </w:t>
      </w:r>
      <w:r w:rsidR="00604A4A">
        <w:rPr>
          <w:rFonts w:ascii="TimesNewRomanPSMT" w:hAnsi="TimesNewRomanPSMT"/>
          <w:color w:val="000000"/>
          <w:kern w:val="0"/>
          <w:lang w:val="et-EE"/>
        </w:rPr>
        <w:t xml:space="preserve">ning </w:t>
      </w:r>
      <w:r w:rsidR="009F4DA1">
        <w:rPr>
          <w:rFonts w:ascii="TimesNewRomanPSMT" w:hAnsi="TimesNewRomanPSMT"/>
          <w:color w:val="000000"/>
          <w:kern w:val="0"/>
          <w:lang w:val="et-EE"/>
        </w:rPr>
        <w:t xml:space="preserve">eeskätt </w:t>
      </w:r>
      <w:r w:rsidR="00604A4A">
        <w:rPr>
          <w:rFonts w:ascii="TimesNewRomanPSMT" w:hAnsi="TimesNewRomanPSMT"/>
          <w:color w:val="000000"/>
          <w:kern w:val="0"/>
          <w:lang w:val="et-EE"/>
        </w:rPr>
        <w:t>näiteks II ja III kaitsekategooria liike rangelt kaitsma ei pea. K</w:t>
      </w:r>
      <w:r w:rsidR="001E1FA1">
        <w:rPr>
          <w:lang w:val="et-EE"/>
        </w:rPr>
        <w:t xml:space="preserve">eskkonnaohu tuvastamine keeldumiseks </w:t>
      </w:r>
      <w:r w:rsidR="00491927">
        <w:rPr>
          <w:lang w:val="et-EE"/>
        </w:rPr>
        <w:t>eeldab olulise ebasoodsa mõju tuvastamist, mh liigi või elupaiga soodsale seisundile mõjude hindamise raames.</w:t>
      </w:r>
      <w:r w:rsidR="00604A4A">
        <w:rPr>
          <w:rFonts w:ascii="TimesNewRomanPSMT" w:hAnsi="TimesNewRomanPSMT"/>
          <w:color w:val="000000"/>
          <w:kern w:val="0"/>
          <w:lang w:val="et-EE"/>
        </w:rPr>
        <w:t xml:space="preserve"> </w:t>
      </w:r>
      <w:r w:rsidR="00864E67" w:rsidRPr="5B535861">
        <w:rPr>
          <w:rFonts w:ascii="TimesNewRomanPSMT" w:eastAsiaTheme="minorEastAsia" w:hAnsi="TimesNewRomanPSMT" w:cstheme="minorBidi"/>
          <w:color w:val="000000"/>
          <w:kern w:val="0"/>
          <w:lang w:val="et-EE"/>
        </w:rPr>
        <w:t xml:space="preserve"> </w:t>
      </w:r>
      <w:r w:rsidR="00604A4A" w:rsidRPr="00061BA4">
        <w:rPr>
          <w:lang w:val="et-EE"/>
        </w:rPr>
        <w:t xml:space="preserve">KeÜS § 52 lg 1 p 6 </w:t>
      </w:r>
      <w:r w:rsidR="00604A4A">
        <w:rPr>
          <w:lang w:val="et-EE"/>
        </w:rPr>
        <w:t xml:space="preserve">suunab uurima ka leevendavaid meetmeid (näiteks mingi muu ala taastamine või </w:t>
      </w:r>
      <w:r w:rsidR="00811A84">
        <w:rPr>
          <w:lang w:val="et-EE"/>
        </w:rPr>
        <w:t>liigi ümberasustamine)</w:t>
      </w:r>
      <w:r w:rsidR="00604A4A">
        <w:rPr>
          <w:lang w:val="et-EE"/>
        </w:rPr>
        <w:t xml:space="preserve">. </w:t>
      </w:r>
      <w:r w:rsidR="004520BE" w:rsidRPr="00485B78">
        <w:rPr>
          <w:rFonts w:ascii="TimesNewRomanPSMT" w:hAnsi="TimesNewRomanPSMT"/>
          <w:color w:val="000000"/>
          <w:kern w:val="0"/>
          <w:u w:val="single"/>
          <w:lang w:val="et-EE"/>
        </w:rPr>
        <w:t>Eelnevat arvesse võttes</w:t>
      </w:r>
      <w:r w:rsidR="008D67DB">
        <w:rPr>
          <w:rFonts w:ascii="TimesNewRomanPSMT" w:hAnsi="TimesNewRomanPSMT"/>
          <w:color w:val="000000"/>
          <w:kern w:val="0"/>
          <w:u w:val="single"/>
          <w:lang w:val="et-EE"/>
        </w:rPr>
        <w:t xml:space="preserve"> </w:t>
      </w:r>
      <w:r w:rsidR="004520BE" w:rsidRPr="00485B78">
        <w:rPr>
          <w:rFonts w:ascii="TimesNewRomanPSMT" w:hAnsi="TimesNewRomanPSMT"/>
          <w:color w:val="000000"/>
          <w:kern w:val="0"/>
          <w:u w:val="single"/>
          <w:lang w:val="et-EE"/>
        </w:rPr>
        <w:t>palume tä</w:t>
      </w:r>
      <w:r w:rsidR="008D67DB">
        <w:rPr>
          <w:rFonts w:ascii="TimesNewRomanPSMT" w:hAnsi="TimesNewRomanPSMT"/>
          <w:color w:val="000000"/>
          <w:kern w:val="0"/>
          <w:u w:val="single"/>
          <w:lang w:val="et-EE"/>
        </w:rPr>
        <w:t xml:space="preserve">psustada joonist </w:t>
      </w:r>
      <w:r w:rsidR="004520BE" w:rsidRPr="00485B78">
        <w:rPr>
          <w:rFonts w:ascii="TimesNewRomanPSMT" w:hAnsi="TimesNewRomanPSMT"/>
          <w:color w:val="000000"/>
          <w:kern w:val="0"/>
          <w:u w:val="single"/>
          <w:lang w:val="et-EE"/>
        </w:rPr>
        <w:t>selliselt, et</w:t>
      </w:r>
      <w:r w:rsidR="009F4DA1">
        <w:rPr>
          <w:rFonts w:ascii="TimesNewRomanPSMT" w:hAnsi="TimesNewRomanPSMT"/>
          <w:color w:val="000000"/>
          <w:kern w:val="0"/>
          <w:u w:val="single"/>
          <w:lang w:val="et-EE"/>
        </w:rPr>
        <w:t xml:space="preserve"> kõigi kaitsealuste liikide ja </w:t>
      </w:r>
      <w:r w:rsidR="004520BE">
        <w:rPr>
          <w:rFonts w:ascii="TimesNewRomanPSMT" w:hAnsi="TimesNewRomanPSMT"/>
          <w:color w:val="000000"/>
          <w:kern w:val="0"/>
          <w:u w:val="single"/>
          <w:lang w:val="et-EE"/>
        </w:rPr>
        <w:t xml:space="preserve">elupaigatüüpide puhul </w:t>
      </w:r>
      <w:r w:rsidR="00893823">
        <w:rPr>
          <w:rFonts w:ascii="TimesNewRomanPSMT" w:hAnsi="TimesNewRomanPSMT"/>
          <w:color w:val="000000"/>
          <w:kern w:val="0"/>
          <w:u w:val="single"/>
          <w:lang w:val="et-EE"/>
        </w:rPr>
        <w:t xml:space="preserve">on kaalutlusõigus, sh </w:t>
      </w:r>
      <w:r w:rsidR="004520BE">
        <w:rPr>
          <w:rFonts w:ascii="TimesNewRomanPSMT" w:hAnsi="TimesNewRomanPSMT"/>
          <w:color w:val="000000"/>
          <w:kern w:val="0"/>
          <w:u w:val="single"/>
          <w:lang w:val="et-EE"/>
        </w:rPr>
        <w:t xml:space="preserve">peab arvestama ning hindama </w:t>
      </w:r>
      <w:r w:rsidR="00893823">
        <w:rPr>
          <w:rFonts w:ascii="TimesNewRomanPSMT" w:hAnsi="TimesNewRomanPSMT"/>
          <w:color w:val="000000"/>
          <w:kern w:val="0"/>
          <w:u w:val="single"/>
          <w:lang w:val="et-EE"/>
        </w:rPr>
        <w:t xml:space="preserve">II ja III kaitsekategooria </w:t>
      </w:r>
      <w:r w:rsidR="004520BE">
        <w:rPr>
          <w:rFonts w:ascii="TimesNewRomanPSMT" w:hAnsi="TimesNewRomanPSMT"/>
          <w:color w:val="000000"/>
          <w:kern w:val="0"/>
          <w:u w:val="single"/>
          <w:lang w:val="et-EE"/>
        </w:rPr>
        <w:t xml:space="preserve">liigi soodsat seisundit levikualal </w:t>
      </w:r>
      <w:r w:rsidR="004520BE" w:rsidRPr="00485B78">
        <w:rPr>
          <w:rFonts w:ascii="TimesNewRomanPSMT" w:hAnsi="TimesNewRomanPSMT"/>
          <w:color w:val="000000"/>
          <w:kern w:val="0"/>
          <w:u w:val="single"/>
          <w:lang w:val="et-EE"/>
        </w:rPr>
        <w:t>KMH menetluses</w:t>
      </w:r>
      <w:r w:rsidR="0083719F">
        <w:rPr>
          <w:rFonts w:ascii="TimesNewRomanPSMT" w:hAnsi="TimesNewRomanPSMT"/>
          <w:color w:val="000000"/>
          <w:kern w:val="0"/>
          <w:u w:val="single"/>
          <w:lang w:val="et-EE"/>
        </w:rPr>
        <w:t xml:space="preserve">. </w:t>
      </w:r>
    </w:p>
    <w:p w14:paraId="7F6991B0" w14:textId="77777777" w:rsidR="005D271A" w:rsidRPr="00E83014" w:rsidRDefault="00827F36" w:rsidP="00E50746">
      <w:pPr>
        <w:pStyle w:val="NCNumbering"/>
        <w:rPr>
          <w:lang w:val="et-EE"/>
        </w:rPr>
      </w:pPr>
      <w:r>
        <w:rPr>
          <w:lang w:val="et-EE"/>
        </w:rPr>
        <w:lastRenderedPageBreak/>
        <w:t>Juhendi</w:t>
      </w:r>
      <w:r w:rsidR="00A17C65">
        <w:rPr>
          <w:lang w:val="et-EE"/>
        </w:rPr>
        <w:t xml:space="preserve"> toodud</w:t>
      </w:r>
      <w:r>
        <w:rPr>
          <w:lang w:val="et-EE"/>
        </w:rPr>
        <w:t xml:space="preserve"> </w:t>
      </w:r>
      <w:r w:rsidR="00A17C65">
        <w:rPr>
          <w:lang w:val="et-EE"/>
        </w:rPr>
        <w:t>puhveralad</w:t>
      </w:r>
      <w:r>
        <w:rPr>
          <w:lang w:val="et-EE"/>
        </w:rPr>
        <w:t xml:space="preserve"> </w:t>
      </w:r>
      <w:r w:rsidR="00072B01">
        <w:rPr>
          <w:lang w:val="et-EE"/>
        </w:rPr>
        <w:t>ei lähtu kehtivast õigusest piiritle</w:t>
      </w:r>
      <w:r>
        <w:rPr>
          <w:lang w:val="et-EE"/>
        </w:rPr>
        <w:t xml:space="preserve">maks kaevandusi, liike ja elupaiku. </w:t>
      </w:r>
      <w:r w:rsidR="00846614" w:rsidRPr="008D67DB">
        <w:rPr>
          <w:lang w:val="et-EE"/>
        </w:rPr>
        <w:t xml:space="preserve">Menetluses olev Harju maakonnaplaneering </w:t>
      </w:r>
      <w:r w:rsidR="00BE1301" w:rsidRPr="008D67DB">
        <w:rPr>
          <w:lang w:val="et-EE"/>
        </w:rPr>
        <w:t>ei saa olla kohustuslik kogu Eesti</w:t>
      </w:r>
      <w:r w:rsidR="00E50746" w:rsidRPr="008D67DB">
        <w:rPr>
          <w:lang w:val="et-EE"/>
        </w:rPr>
        <w:t xml:space="preserve"> </w:t>
      </w:r>
      <w:r w:rsidR="00144029" w:rsidRPr="008D67DB">
        <w:rPr>
          <w:lang w:val="et-EE"/>
        </w:rPr>
        <w:t>puhveralade määratlemisel</w:t>
      </w:r>
      <w:r w:rsidR="00BE1301" w:rsidRPr="008D67DB">
        <w:rPr>
          <w:lang w:val="et-EE"/>
        </w:rPr>
        <w:t>, samuti</w:t>
      </w:r>
      <w:r w:rsidR="00144029" w:rsidRPr="008D67DB">
        <w:rPr>
          <w:lang w:val="et-EE"/>
        </w:rPr>
        <w:t xml:space="preserve"> on soovituslike maismaa tuuleparkide puhveralade kohaldamine kaevandustele asjakohatu.</w:t>
      </w:r>
      <w:r w:rsidR="00144029" w:rsidRPr="00E50746">
        <w:rPr>
          <w:b/>
          <w:bCs/>
          <w:lang w:val="et-EE"/>
        </w:rPr>
        <w:t xml:space="preserve"> </w:t>
      </w:r>
      <w:r w:rsidR="00485B78" w:rsidRPr="00485B78">
        <w:rPr>
          <w:u w:val="single"/>
          <w:lang w:val="et-EE"/>
        </w:rPr>
        <w:t xml:space="preserve">Eelnevat arvesse võttes palume </w:t>
      </w:r>
      <w:r w:rsidR="00DC1B80">
        <w:rPr>
          <w:u w:val="single"/>
          <w:lang w:val="et-EE"/>
        </w:rPr>
        <w:t>vii</w:t>
      </w:r>
      <w:r w:rsidR="00725A66">
        <w:rPr>
          <w:u w:val="single"/>
          <w:lang w:val="et-EE"/>
        </w:rPr>
        <w:t>d</w:t>
      </w:r>
      <w:r w:rsidR="00DC1B80">
        <w:rPr>
          <w:u w:val="single"/>
          <w:lang w:val="et-EE"/>
        </w:rPr>
        <w:t>ata, et puhveralade olemasolu peab analüüsima juhtumipõhiselt</w:t>
      </w:r>
      <w:r w:rsidR="0030214E">
        <w:rPr>
          <w:u w:val="single"/>
          <w:lang w:val="et-EE"/>
        </w:rPr>
        <w:t xml:space="preserve">, st </w:t>
      </w:r>
      <w:r w:rsidR="00485B78" w:rsidRPr="00485B78">
        <w:rPr>
          <w:u w:val="single"/>
          <w:lang w:val="et-EE"/>
        </w:rPr>
        <w:t>arvestades kehtivaid planeeringuid ja muid avalik-õiguslikke piiranguid</w:t>
      </w:r>
      <w:r w:rsidR="00485B78" w:rsidRPr="00820C0E">
        <w:rPr>
          <w:u w:val="single"/>
          <w:lang w:val="et-EE"/>
        </w:rPr>
        <w:t>.</w:t>
      </w:r>
      <w:r w:rsidR="00485B78" w:rsidRPr="00820C0E">
        <w:rPr>
          <w:b/>
          <w:bCs/>
          <w:u w:val="single"/>
          <w:lang w:val="et-EE"/>
        </w:rPr>
        <w:t xml:space="preserve"> </w:t>
      </w:r>
    </w:p>
    <w:p w14:paraId="1006FE9B" w14:textId="77777777" w:rsidR="00E83014" w:rsidRDefault="00E83014" w:rsidP="00E50746">
      <w:pPr>
        <w:pStyle w:val="NCNumbering"/>
        <w:rPr>
          <w:lang w:val="et-EE"/>
        </w:rPr>
      </w:pPr>
      <w:r w:rsidRPr="001760D1">
        <w:rPr>
          <w:lang w:val="et-EE"/>
        </w:rPr>
        <w:t xml:space="preserve">Juhend viitab erinevatele </w:t>
      </w:r>
      <w:r w:rsidR="00C8752F" w:rsidRPr="001760D1">
        <w:rPr>
          <w:lang w:val="et-EE"/>
        </w:rPr>
        <w:t>linnu- ja loodusdirektiivi aruannetele ning liigi hinnangutele</w:t>
      </w:r>
      <w:r w:rsidR="005039BA">
        <w:rPr>
          <w:lang w:val="et-EE"/>
        </w:rPr>
        <w:t xml:space="preserve">, kuid </w:t>
      </w:r>
      <w:r w:rsidR="001760D1">
        <w:rPr>
          <w:lang w:val="et-EE"/>
        </w:rPr>
        <w:t xml:space="preserve">lingid ei ole avalikult kättesaadavad. Koos Juhendiga on vajalik KeA poolt vastava info süstematiseerimine ja avalikustamine, mille alusel on kõigil protsessiosalistel võimalik </w:t>
      </w:r>
      <w:r w:rsidR="00000325">
        <w:rPr>
          <w:lang w:val="et-EE"/>
        </w:rPr>
        <w:t xml:space="preserve">infot kontrollida. </w:t>
      </w:r>
    </w:p>
    <w:p w14:paraId="776248E9" w14:textId="77777777" w:rsidR="007C48B5" w:rsidRPr="001760D1" w:rsidRDefault="001B051D" w:rsidP="00E50746">
      <w:pPr>
        <w:pStyle w:val="NCNumbering"/>
        <w:rPr>
          <w:lang w:val="et-EE"/>
        </w:rPr>
      </w:pPr>
      <w:r>
        <w:rPr>
          <w:rStyle w:val="ui-provider"/>
          <w:lang w:val="et-EE"/>
        </w:rPr>
        <w:t xml:space="preserve">Kokkuvõttes, </w:t>
      </w:r>
      <w:r w:rsidR="008D67DB" w:rsidRPr="000500D4">
        <w:rPr>
          <w:lang w:val="et-EE"/>
        </w:rPr>
        <w:t xml:space="preserve">Juhendis esitatud hinnangud </w:t>
      </w:r>
      <w:r w:rsidR="68312B13" w:rsidRPr="000500D4">
        <w:rPr>
          <w:lang w:val="et-EE"/>
        </w:rPr>
        <w:t xml:space="preserve">ei tohi olla </w:t>
      </w:r>
      <w:r w:rsidR="008D67DB" w:rsidRPr="000500D4">
        <w:rPr>
          <w:lang w:val="et-EE"/>
        </w:rPr>
        <w:t xml:space="preserve"> normide tõlgendamisel </w:t>
      </w:r>
      <w:r w:rsidR="2FCCBAFE" w:rsidRPr="000500D4">
        <w:rPr>
          <w:lang w:val="et-EE"/>
        </w:rPr>
        <w:t xml:space="preserve">määravad. </w:t>
      </w:r>
      <w:r w:rsidR="008D67DB">
        <w:rPr>
          <w:lang w:val="et-EE"/>
        </w:rPr>
        <w:t xml:space="preserve">Juhend ei tohi tekitada keeldumise aluseid, mida kehtiv õigus ja kohtupraktika ei nõua. Sealjuures </w:t>
      </w:r>
      <w:r>
        <w:rPr>
          <w:rStyle w:val="ui-provider"/>
          <w:lang w:val="et-EE"/>
        </w:rPr>
        <w:t>k</w:t>
      </w:r>
      <w:r w:rsidRPr="0022218E">
        <w:rPr>
          <w:rStyle w:val="ui-provider"/>
          <w:lang w:val="et-EE"/>
        </w:rPr>
        <w:t>aalutlusõiguse teostamisel ei tule arvestada üksnes õigusaktidega, vaid kõigi oluliste asjaoludega</w:t>
      </w:r>
      <w:r w:rsidR="00DE495F" w:rsidRPr="00F82A72">
        <w:rPr>
          <w:rStyle w:val="FootnoteReference"/>
          <w:lang w:val="et-EE"/>
        </w:rPr>
        <w:footnoteReference w:id="2"/>
      </w:r>
      <w:r w:rsidR="00DE495F">
        <w:rPr>
          <w:lang w:val="et-EE"/>
        </w:rPr>
        <w:t xml:space="preserve">, sh </w:t>
      </w:r>
      <w:r w:rsidR="005406F1">
        <w:rPr>
          <w:lang w:val="et-EE"/>
        </w:rPr>
        <w:t xml:space="preserve">kõigi </w:t>
      </w:r>
      <w:r w:rsidR="005E32B1">
        <w:rPr>
          <w:rStyle w:val="ui-provider"/>
          <w:lang w:val="et-EE"/>
        </w:rPr>
        <w:t xml:space="preserve">KeÜS § 52 lg 1 p 6 normi </w:t>
      </w:r>
      <w:r w:rsidR="00DE495F">
        <w:rPr>
          <w:rStyle w:val="ui-provider"/>
          <w:lang w:val="et-EE"/>
        </w:rPr>
        <w:t>eeldustega</w:t>
      </w:r>
      <w:r w:rsidRPr="0022218E">
        <w:rPr>
          <w:rStyle w:val="ui-provider"/>
          <w:lang w:val="et-EE"/>
        </w:rPr>
        <w:t>.</w:t>
      </w:r>
      <w:r w:rsidR="007B79F7" w:rsidRPr="007B79F7">
        <w:rPr>
          <w:lang w:val="et-EE"/>
        </w:rPr>
        <w:t xml:space="preserve"> </w:t>
      </w:r>
    </w:p>
    <w:p w14:paraId="1094133A" w14:textId="77777777" w:rsidR="00AD296E" w:rsidRPr="00E50746" w:rsidRDefault="007861C1" w:rsidP="00AD296E">
      <w:pPr>
        <w:pStyle w:val="1stlevelheading"/>
      </w:pPr>
      <w:r>
        <w:t>Juhend</w:t>
      </w:r>
      <w:r w:rsidR="008D67DB">
        <w:t xml:space="preserve"> peab</w:t>
      </w:r>
      <w:r w:rsidR="005E32B1">
        <w:t xml:space="preserve"> toetama kaalutlusotsuse tegemist </w:t>
      </w:r>
      <w:r w:rsidR="008D67DB">
        <w:t xml:space="preserve"> </w:t>
      </w:r>
    </w:p>
    <w:p w14:paraId="1BB23FDC" w14:textId="77777777" w:rsidR="00775A0E" w:rsidRDefault="006300E5" w:rsidP="00A102B0">
      <w:pPr>
        <w:pStyle w:val="NCNumbering"/>
        <w:rPr>
          <w:lang w:val="et-EE"/>
        </w:rPr>
      </w:pPr>
      <w:r w:rsidRPr="00061BA4">
        <w:rPr>
          <w:lang w:val="et-EE"/>
        </w:rPr>
        <w:t xml:space="preserve">KeÜS § 52 lg 1 p 6 kohaselt võib keskkonnaloast keelduda, kui tegevusega kaasneb keskkonnaoht, mida ei ole võimalik vältida, välja arvatud juhul, kui huvi keskkonnaloa andmiseks on ülekaalukas ja tegevusel puudub mõistlik alternatiiv ning on võetud ohu vähendamise meetmed. </w:t>
      </w:r>
      <w:r w:rsidR="4B45C4FA" w:rsidRPr="3FEB8997">
        <w:rPr>
          <w:lang w:val="et-EE"/>
        </w:rPr>
        <w:t>Tegu on</w:t>
      </w:r>
      <w:r w:rsidR="618D851F" w:rsidRPr="3FEB8997">
        <w:rPr>
          <w:lang w:val="et-EE"/>
        </w:rPr>
        <w:t xml:space="preserve"> kaalutlusõiguse </w:t>
      </w:r>
      <w:r w:rsidR="006A67F1">
        <w:rPr>
          <w:lang w:val="et-EE"/>
        </w:rPr>
        <w:t>alusega</w:t>
      </w:r>
      <w:r w:rsidR="00422110">
        <w:rPr>
          <w:lang w:val="et-EE"/>
        </w:rPr>
        <w:t xml:space="preserve">, mida KeA võib, aga ei pea kohaldama. </w:t>
      </w:r>
    </w:p>
    <w:p w14:paraId="20489FB5" w14:textId="77777777" w:rsidR="0070481B" w:rsidRPr="00775A0E" w:rsidRDefault="00BD6414" w:rsidP="005C2E07">
      <w:pPr>
        <w:pStyle w:val="NCNumbering"/>
        <w:rPr>
          <w:lang w:val="et-EE"/>
        </w:rPr>
      </w:pPr>
      <w:r w:rsidRPr="00775A0E">
        <w:rPr>
          <w:lang w:val="et-EE"/>
        </w:rPr>
        <w:t>Ülalnimetatud normi</w:t>
      </w:r>
      <w:r w:rsidR="00485772">
        <w:rPr>
          <w:lang w:val="et-EE"/>
        </w:rPr>
        <w:t xml:space="preserve"> kohaselt </w:t>
      </w:r>
      <w:r w:rsidRPr="00775A0E">
        <w:rPr>
          <w:lang w:val="et-EE"/>
        </w:rPr>
        <w:t xml:space="preserve">tuleb kaaluda, kas esineb keskkonnaoht, mida ei ole võimalik vältida. </w:t>
      </w:r>
      <w:r w:rsidR="00CA1766" w:rsidRPr="00775A0E">
        <w:rPr>
          <w:lang w:val="et-EE"/>
        </w:rPr>
        <w:t xml:space="preserve">Selguse huvides võiks </w:t>
      </w:r>
      <w:r w:rsidR="00876A3B" w:rsidRPr="00775A0E">
        <w:rPr>
          <w:lang w:val="et-EE"/>
        </w:rPr>
        <w:t>J</w:t>
      </w:r>
      <w:r w:rsidR="00CA1766" w:rsidRPr="00775A0E">
        <w:rPr>
          <w:lang w:val="et-EE"/>
        </w:rPr>
        <w:t xml:space="preserve">uhend </w:t>
      </w:r>
      <w:r w:rsidR="00D1481E" w:rsidRPr="00775A0E">
        <w:rPr>
          <w:lang w:val="et-EE"/>
        </w:rPr>
        <w:t xml:space="preserve">keskkonnaohu mõistet avada, tuua näiteid kohtupraktikast ning </w:t>
      </w:r>
      <w:r w:rsidR="002A3D00" w:rsidRPr="00775A0E">
        <w:rPr>
          <w:lang w:val="et-EE"/>
        </w:rPr>
        <w:t>selgitada, millal ei ole võimalik seda tegevuse kontekstis vältida</w:t>
      </w:r>
      <w:r w:rsidR="000E2B80" w:rsidRPr="00775A0E">
        <w:rPr>
          <w:lang w:val="et-EE"/>
        </w:rPr>
        <w:t>.</w:t>
      </w:r>
      <w:r w:rsidR="004D34CE" w:rsidRPr="00775A0E">
        <w:rPr>
          <w:lang w:val="et-EE"/>
        </w:rPr>
        <w:t xml:space="preserve"> Saame Riigikohtu praktikast aru, et </w:t>
      </w:r>
      <w:r w:rsidR="00484496" w:rsidRPr="00775A0E">
        <w:rPr>
          <w:lang w:val="et-EE"/>
        </w:rPr>
        <w:t>nii kahju tõenäosust kui võimaliku tagajärje olulisust tuleb hinnata konkreetse juhtumi asjaoludest lähtudes.</w:t>
      </w:r>
      <w:r w:rsidR="00407C79">
        <w:rPr>
          <w:rStyle w:val="FootnoteReference"/>
          <w:lang w:val="et-EE"/>
        </w:rPr>
        <w:footnoteReference w:id="3"/>
      </w:r>
      <w:r w:rsidR="00BE6354" w:rsidRPr="00775A0E">
        <w:rPr>
          <w:lang w:val="et-EE"/>
        </w:rPr>
        <w:t xml:space="preserve"> Seega tuleb </w:t>
      </w:r>
      <w:r w:rsidR="007652A1" w:rsidRPr="00775A0E">
        <w:rPr>
          <w:lang w:val="et-EE"/>
        </w:rPr>
        <w:t>selgitada, millal es</w:t>
      </w:r>
      <w:r w:rsidR="008964B4" w:rsidRPr="00775A0E">
        <w:rPr>
          <w:lang w:val="et-EE"/>
        </w:rPr>
        <w:t xml:space="preserve">inevad asjaolud keskkonnaohu vältimiseks, </w:t>
      </w:r>
      <w:r w:rsidR="005B4D71" w:rsidRPr="00775A0E">
        <w:rPr>
          <w:lang w:val="et-EE"/>
        </w:rPr>
        <w:t xml:space="preserve">et keelduvat otsust ei peaks tegema. </w:t>
      </w:r>
    </w:p>
    <w:p w14:paraId="1D23B2DB" w14:textId="77777777" w:rsidR="00250D46" w:rsidRDefault="0055587A" w:rsidP="00A243B7">
      <w:pPr>
        <w:pStyle w:val="NCNumbering"/>
        <w:rPr>
          <w:rStyle w:val="ui-provider"/>
          <w:lang w:val="et-EE"/>
        </w:rPr>
      </w:pPr>
      <w:r>
        <w:rPr>
          <w:lang w:val="et-EE"/>
        </w:rPr>
        <w:t xml:space="preserve">Samuti on KeÜS § 52 lg 1 p 6 sätestatud erand, kui koos esinevad kumulatiivsed tingimused: keskkonnaloa andmise ülekaalukas huvi, mõistliku alternatiivi puudumine ning </w:t>
      </w:r>
      <w:r w:rsidR="001A7D08" w:rsidRPr="5B535861">
        <w:rPr>
          <w:lang w:val="et-EE"/>
        </w:rPr>
        <w:t>rakendatakse</w:t>
      </w:r>
      <w:r>
        <w:rPr>
          <w:lang w:val="et-EE"/>
        </w:rPr>
        <w:t xml:space="preserve"> ohu vähendamise meetmeid. </w:t>
      </w:r>
      <w:r w:rsidR="00250D46">
        <w:rPr>
          <w:rStyle w:val="ui-provider"/>
          <w:lang w:val="et-EE"/>
        </w:rPr>
        <w:t xml:space="preserve">Järelikult olukorras, </w:t>
      </w:r>
      <w:r w:rsidR="00250D46">
        <w:rPr>
          <w:lang w:val="et-EE"/>
        </w:rPr>
        <w:t>kus keskkonnaoht tuvastatakse (ehk oluline negatiivne mõju, mida pole võimalik leevendada), tuleb viia läbi erinevate huvide kaalumine.</w:t>
      </w:r>
      <w:r w:rsidR="00250D46" w:rsidRPr="00E86436">
        <w:rPr>
          <w:lang w:val="et-EE"/>
        </w:rPr>
        <w:t xml:space="preserve"> Automaatne keeldumine oleks põhjendatud üksnes siis, kui tegevusel ei ole mõistlikku alternatiivi (majanduslik kaalutlus), huvi keskkonnaloa andmiseks on ülekaalukas (sotsiaalne kaalutlus) ning võetud on meetmed keskkonnaohu vähendamiseks (hindamise tulemusel väljatöötatud leevendusmeetmed).</w:t>
      </w:r>
      <w:r w:rsidR="00250D46" w:rsidRPr="00B5337D">
        <w:rPr>
          <w:lang w:val="et-EE"/>
        </w:rPr>
        <w:t xml:space="preserve"> </w:t>
      </w:r>
      <w:r>
        <w:rPr>
          <w:lang w:val="et-EE"/>
        </w:rPr>
        <w:t xml:space="preserve">Neid määratlemata õigusmõisteid ei ole samuti Juhendis avatud, kuid sellest võiks olla abi Juhendi kasutamisel. </w:t>
      </w:r>
      <w:r>
        <w:rPr>
          <w:rStyle w:val="ui-provider"/>
          <w:lang w:val="et-EE"/>
        </w:rPr>
        <w:t xml:space="preserve">Muuhulgas on oluline, et </w:t>
      </w:r>
      <w:r w:rsidR="0032736C">
        <w:rPr>
          <w:rStyle w:val="ui-provider"/>
          <w:lang w:val="et-EE"/>
        </w:rPr>
        <w:t xml:space="preserve">see suunaks kaaluma </w:t>
      </w:r>
      <w:r>
        <w:rPr>
          <w:rStyle w:val="ui-provider"/>
          <w:lang w:val="et-EE"/>
        </w:rPr>
        <w:t>teisi juhendis nimetamata õiguseid ja huvisid.</w:t>
      </w:r>
      <w:r w:rsidR="00250D46" w:rsidRPr="00250D46">
        <w:rPr>
          <w:u w:val="single"/>
          <w:lang w:val="et-EE"/>
        </w:rPr>
        <w:t xml:space="preserve"> </w:t>
      </w:r>
      <w:r w:rsidR="00250D46">
        <w:rPr>
          <w:u w:val="single"/>
          <w:lang w:val="et-EE"/>
        </w:rPr>
        <w:t xml:space="preserve">Eelnevat kokkuvõttes </w:t>
      </w:r>
      <w:r w:rsidR="00250D46" w:rsidRPr="00693AFD">
        <w:rPr>
          <w:u w:val="single"/>
          <w:lang w:val="et-EE"/>
        </w:rPr>
        <w:t xml:space="preserve"> tuleks Juhendis tuua välja normis sisalduvad elemendid ning nende selgitused, sh kohtupraktikas.</w:t>
      </w:r>
    </w:p>
    <w:p w14:paraId="7D9135B3" w14:textId="77777777" w:rsidR="008C005B" w:rsidRPr="0040233B" w:rsidRDefault="00CF15A7" w:rsidP="008C005B">
      <w:pPr>
        <w:pStyle w:val="1stlevelheading"/>
      </w:pPr>
      <w:r w:rsidRPr="0040233B">
        <w:t xml:space="preserve">Riigikohus juhtis selgelt tähelepanu, et </w:t>
      </w:r>
      <w:r w:rsidR="00EA009F">
        <w:t xml:space="preserve">kumulatiivset mõju </w:t>
      </w:r>
      <w:r w:rsidR="009040C4">
        <w:t xml:space="preserve">peab uurima </w:t>
      </w:r>
      <w:r w:rsidR="00A91A94">
        <w:t xml:space="preserve">KMH menetluses </w:t>
      </w:r>
    </w:p>
    <w:p w14:paraId="46C6126E" w14:textId="77777777" w:rsidR="004131FC" w:rsidRDefault="005E4B1A" w:rsidP="00F50C86">
      <w:pPr>
        <w:pStyle w:val="NCNumbering"/>
        <w:rPr>
          <w:lang w:val="et-EE"/>
        </w:rPr>
      </w:pPr>
      <w:r>
        <w:rPr>
          <w:lang w:val="et-EE"/>
        </w:rPr>
        <w:t xml:space="preserve">Juhendi koostamise ajendiks on </w:t>
      </w:r>
      <w:r w:rsidR="003D1963" w:rsidRPr="00061BA4">
        <w:rPr>
          <w:lang w:val="et-EE"/>
        </w:rPr>
        <w:t>Riigikoh</w:t>
      </w:r>
      <w:r w:rsidR="009841AD">
        <w:rPr>
          <w:lang w:val="et-EE"/>
        </w:rPr>
        <w:t>t</w:t>
      </w:r>
      <w:r w:rsidR="003D1963" w:rsidRPr="00061BA4">
        <w:rPr>
          <w:lang w:val="et-EE"/>
        </w:rPr>
        <w:t>u otsus haldusasjas 3-20-1657</w:t>
      </w:r>
      <w:r w:rsidR="003D1963">
        <w:rPr>
          <w:lang w:val="et-EE"/>
        </w:rPr>
        <w:t xml:space="preserve"> (</w:t>
      </w:r>
      <w:r w:rsidR="00655540">
        <w:rPr>
          <w:lang w:val="et-EE"/>
        </w:rPr>
        <w:t xml:space="preserve">edaspidi </w:t>
      </w:r>
      <w:r w:rsidRPr="009841AD">
        <w:rPr>
          <w:b/>
          <w:bCs/>
          <w:lang w:val="et-EE"/>
        </w:rPr>
        <w:t xml:space="preserve">Elbu </w:t>
      </w:r>
      <w:r w:rsidR="009841AD" w:rsidRPr="009841AD">
        <w:rPr>
          <w:b/>
          <w:bCs/>
          <w:lang w:val="et-EE"/>
        </w:rPr>
        <w:t>lahend</w:t>
      </w:r>
      <w:r w:rsidR="00655540">
        <w:rPr>
          <w:lang w:val="et-EE"/>
        </w:rPr>
        <w:t>)</w:t>
      </w:r>
      <w:r w:rsidR="007B3B95">
        <w:rPr>
          <w:lang w:val="et-EE"/>
        </w:rPr>
        <w:t xml:space="preserve">. </w:t>
      </w:r>
      <w:r w:rsidR="009841AD">
        <w:rPr>
          <w:lang w:val="et-EE"/>
        </w:rPr>
        <w:t>K</w:t>
      </w:r>
      <w:r w:rsidR="000C201B">
        <w:rPr>
          <w:lang w:val="et-EE"/>
        </w:rPr>
        <w:t xml:space="preserve">ohtulahendi </w:t>
      </w:r>
      <w:r w:rsidR="00CC32A6">
        <w:rPr>
          <w:lang w:val="et-EE"/>
        </w:rPr>
        <w:t>järelmi</w:t>
      </w:r>
      <w:r w:rsidR="009841AD">
        <w:rPr>
          <w:lang w:val="et-EE"/>
        </w:rPr>
        <w:t>te</w:t>
      </w:r>
      <w:r w:rsidR="00CC32A6">
        <w:rPr>
          <w:lang w:val="et-EE"/>
        </w:rPr>
        <w:t xml:space="preserve"> analüüsimisel on määravaks fakt, et KeA algatas keskkonnaloa </w:t>
      </w:r>
      <w:r w:rsidR="00CC32A6">
        <w:rPr>
          <w:lang w:val="et-EE"/>
        </w:rPr>
        <w:lastRenderedPageBreak/>
        <w:t>taotlusele KMH</w:t>
      </w:r>
      <w:r w:rsidR="0077647E">
        <w:rPr>
          <w:lang w:val="et-EE"/>
        </w:rPr>
        <w:t xml:space="preserve"> </w:t>
      </w:r>
      <w:r w:rsidR="00CC32A6" w:rsidRPr="00CC32A6">
        <w:rPr>
          <w:lang w:val="et-EE"/>
        </w:rPr>
        <w:t>KeHJS § 6 lg 1 punkti 28</w:t>
      </w:r>
      <w:r w:rsidR="0077647E">
        <w:rPr>
          <w:lang w:val="et-EE"/>
        </w:rPr>
        <w:t xml:space="preserve"> alusel ehk </w:t>
      </w:r>
      <w:r w:rsidR="0032736C">
        <w:rPr>
          <w:lang w:val="et-EE"/>
        </w:rPr>
        <w:t xml:space="preserve">see </w:t>
      </w:r>
      <w:r w:rsidR="0077647E">
        <w:rPr>
          <w:lang w:val="et-EE"/>
        </w:rPr>
        <w:t xml:space="preserve">oli kohustuslik </w:t>
      </w:r>
      <w:r w:rsidR="004131FC">
        <w:rPr>
          <w:lang w:val="et-EE"/>
        </w:rPr>
        <w:t xml:space="preserve">kaevandamiseks </w:t>
      </w:r>
      <w:r w:rsidR="00CC32A6" w:rsidRPr="00CC32A6">
        <w:rPr>
          <w:lang w:val="et-EE"/>
        </w:rPr>
        <w:t xml:space="preserve">suuremal kui 150 hektari suurusel alal. </w:t>
      </w:r>
    </w:p>
    <w:p w14:paraId="37BDF049" w14:textId="77777777" w:rsidR="00061BA4" w:rsidRDefault="00055C98" w:rsidP="00F50C86">
      <w:pPr>
        <w:pStyle w:val="NCNumbering"/>
        <w:rPr>
          <w:lang w:val="et-EE"/>
        </w:rPr>
      </w:pPr>
      <w:r w:rsidRPr="00061BA4">
        <w:rPr>
          <w:lang w:val="et-EE"/>
        </w:rPr>
        <w:t>Riigikohus selgitas</w:t>
      </w:r>
      <w:r w:rsidR="000077AC">
        <w:rPr>
          <w:lang w:val="et-EE"/>
        </w:rPr>
        <w:t xml:space="preserve"> Elbu </w:t>
      </w:r>
      <w:r w:rsidR="0088529F">
        <w:rPr>
          <w:lang w:val="et-EE"/>
        </w:rPr>
        <w:t>lahendi</w:t>
      </w:r>
      <w:r w:rsidR="000077AC">
        <w:rPr>
          <w:lang w:val="et-EE"/>
        </w:rPr>
        <w:t xml:space="preserve"> </w:t>
      </w:r>
      <w:r w:rsidR="00024E79">
        <w:rPr>
          <w:lang w:val="et-EE"/>
        </w:rPr>
        <w:t>p-s 31</w:t>
      </w:r>
      <w:r w:rsidRPr="00061BA4">
        <w:rPr>
          <w:lang w:val="et-EE"/>
        </w:rPr>
        <w:t xml:space="preserve">, </w:t>
      </w:r>
      <w:r w:rsidR="00E633AA" w:rsidRPr="00061BA4">
        <w:rPr>
          <w:lang w:val="et-EE"/>
        </w:rPr>
        <w:t>et vaidlustatud loa menetluses koostatud KMH aruandes o</w:t>
      </w:r>
      <w:r w:rsidR="001C348E" w:rsidRPr="00061BA4">
        <w:rPr>
          <w:lang w:val="et-EE"/>
        </w:rPr>
        <w:t>li</w:t>
      </w:r>
      <w:r w:rsidR="00E633AA" w:rsidRPr="00061BA4">
        <w:rPr>
          <w:lang w:val="et-EE"/>
        </w:rPr>
        <w:t xml:space="preserve"> kumulatiivsete mõjude käsitlus ebapiisav.</w:t>
      </w:r>
      <w:r w:rsidR="00A76AA1" w:rsidRPr="00061BA4">
        <w:rPr>
          <w:lang w:val="et-EE"/>
        </w:rPr>
        <w:t xml:space="preserve"> </w:t>
      </w:r>
      <w:r w:rsidR="00B339A8" w:rsidRPr="00061BA4">
        <w:rPr>
          <w:lang w:val="et-EE"/>
        </w:rPr>
        <w:t xml:space="preserve">Tegevuse mõju hindamisel oleks kumulatiivsete mõjude </w:t>
      </w:r>
      <w:r w:rsidR="00A76AA1" w:rsidRPr="00061BA4">
        <w:rPr>
          <w:lang w:val="et-EE"/>
        </w:rPr>
        <w:t xml:space="preserve">välistamiseks tulnud arvestada ka elupaikade </w:t>
      </w:r>
      <w:r w:rsidR="00E97F8C" w:rsidRPr="00061BA4">
        <w:rPr>
          <w:lang w:val="et-EE"/>
        </w:rPr>
        <w:t xml:space="preserve">ja liikide </w:t>
      </w:r>
      <w:r w:rsidR="00A76AA1" w:rsidRPr="00061BA4">
        <w:rPr>
          <w:lang w:val="et-EE"/>
        </w:rPr>
        <w:t>üleriigilis</w:t>
      </w:r>
      <w:r w:rsidR="00E97F8C" w:rsidRPr="00061BA4">
        <w:rPr>
          <w:lang w:val="et-EE"/>
        </w:rPr>
        <w:t xml:space="preserve">e seisundiga. </w:t>
      </w:r>
      <w:r w:rsidR="001F3854">
        <w:rPr>
          <w:lang w:val="et-EE"/>
        </w:rPr>
        <w:t xml:space="preserve">Otsuse punktis 38 </w:t>
      </w:r>
      <w:r w:rsidR="001F3854" w:rsidRPr="512870EA">
        <w:rPr>
          <w:lang w:val="et-EE"/>
        </w:rPr>
        <w:t>selgita</w:t>
      </w:r>
      <w:r w:rsidR="00024E79" w:rsidRPr="512870EA">
        <w:rPr>
          <w:lang w:val="et-EE"/>
        </w:rPr>
        <w:t>ti</w:t>
      </w:r>
      <w:r w:rsidR="00024E79">
        <w:rPr>
          <w:lang w:val="et-EE"/>
        </w:rPr>
        <w:t>, et K</w:t>
      </w:r>
      <w:r w:rsidR="000077AC">
        <w:rPr>
          <w:lang w:val="et-EE"/>
        </w:rPr>
        <w:t>eA</w:t>
      </w:r>
      <w:r w:rsidR="00024E79">
        <w:rPr>
          <w:lang w:val="et-EE"/>
        </w:rPr>
        <w:t xml:space="preserve"> polnud </w:t>
      </w:r>
      <w:r w:rsidR="001F3854" w:rsidRPr="001F3854">
        <w:rPr>
          <w:lang w:val="et-EE"/>
        </w:rPr>
        <w:t>välja selgitanud, kas elupaigatüübi 7110* ja III kaitsekategooria liikide elupaikade hävimine kavandatava tegevuse tõttu toob kaasa olulise keskkonnamõju eraldiseisvalt või kumulatiivselt ning kas sellist mõju on võimalik vältida tulemuslike leevendusmeetmetega. </w:t>
      </w:r>
    </w:p>
    <w:p w14:paraId="0CB7F0B2" w14:textId="77777777" w:rsidR="00061BA4" w:rsidRDefault="00DA52E5" w:rsidP="00F50C86">
      <w:pPr>
        <w:pStyle w:val="NCNumbering"/>
        <w:rPr>
          <w:lang w:val="et-EE"/>
        </w:rPr>
      </w:pPr>
      <w:r w:rsidRPr="00061BA4">
        <w:rPr>
          <w:lang w:val="et-EE"/>
        </w:rPr>
        <w:t xml:space="preserve">Järelikult puudus seisnes KMH-s ning omakorda </w:t>
      </w:r>
      <w:r w:rsidR="00061BA4" w:rsidRPr="00061BA4">
        <w:rPr>
          <w:lang w:val="et-EE"/>
        </w:rPr>
        <w:t>jättis puudused tuvastamata ning kontrollimata KeA.</w:t>
      </w:r>
      <w:r w:rsidR="00061BA4">
        <w:rPr>
          <w:lang w:val="et-EE"/>
        </w:rPr>
        <w:t xml:space="preserve"> </w:t>
      </w:r>
      <w:r w:rsidR="00A76AA1" w:rsidRPr="00061BA4">
        <w:rPr>
          <w:lang w:val="et-EE"/>
        </w:rPr>
        <w:t xml:space="preserve">Eelnevat </w:t>
      </w:r>
      <w:r w:rsidR="5B51B97B" w:rsidRPr="6972823F">
        <w:rPr>
          <w:lang w:val="et-EE"/>
        </w:rPr>
        <w:t>arvesse</w:t>
      </w:r>
      <w:r w:rsidR="00A76AA1" w:rsidRPr="00061BA4">
        <w:rPr>
          <w:lang w:val="et-EE"/>
        </w:rPr>
        <w:t xml:space="preserve"> võttes on</w:t>
      </w:r>
      <w:r w:rsidR="00AE1430">
        <w:rPr>
          <w:lang w:val="et-EE"/>
        </w:rPr>
        <w:t>gi</w:t>
      </w:r>
      <w:r w:rsidR="00A76AA1" w:rsidRPr="00061BA4">
        <w:rPr>
          <w:lang w:val="et-EE"/>
        </w:rPr>
        <w:t xml:space="preserve"> </w:t>
      </w:r>
      <w:r w:rsidR="0088529F">
        <w:rPr>
          <w:lang w:val="et-EE"/>
        </w:rPr>
        <w:t>J</w:t>
      </w:r>
      <w:r w:rsidR="00A76AA1" w:rsidRPr="00061BA4">
        <w:rPr>
          <w:lang w:val="et-EE"/>
        </w:rPr>
        <w:t>uhend põhjendatult määratlenud eesmärgi, milleks on ühtlustada KeA praktikat KMH seotud eelhinnangute andmisel ja KMH asjakohasuse hindamisel.</w:t>
      </w:r>
      <w:r w:rsidR="005D5CEE" w:rsidRPr="00061BA4">
        <w:rPr>
          <w:lang w:val="et-EE"/>
        </w:rPr>
        <w:t xml:space="preserve"> </w:t>
      </w:r>
      <w:r w:rsidR="003C5691">
        <w:rPr>
          <w:lang w:val="et-EE"/>
        </w:rPr>
        <w:t>Seega juhend peaks olema</w:t>
      </w:r>
      <w:r w:rsidR="7CBDABF4" w:rsidRPr="3FEB8997">
        <w:rPr>
          <w:lang w:val="et-EE"/>
        </w:rPr>
        <w:t xml:space="preserve"> ainult</w:t>
      </w:r>
      <w:r w:rsidR="003C5691">
        <w:rPr>
          <w:lang w:val="et-EE"/>
        </w:rPr>
        <w:t xml:space="preserve"> </w:t>
      </w:r>
      <w:r w:rsidR="007577DC">
        <w:rPr>
          <w:lang w:val="et-EE"/>
        </w:rPr>
        <w:t xml:space="preserve">KeHJS hindamisprotsessi </w:t>
      </w:r>
      <w:r w:rsidR="003C5691">
        <w:rPr>
          <w:lang w:val="et-EE"/>
        </w:rPr>
        <w:t>toetavaks ning kontrollivaks tööriistaks</w:t>
      </w:r>
      <w:r w:rsidR="007577DC">
        <w:rPr>
          <w:lang w:val="et-EE"/>
        </w:rPr>
        <w:t xml:space="preserve">. </w:t>
      </w:r>
    </w:p>
    <w:p w14:paraId="07999DC8" w14:textId="77777777" w:rsidR="0006219F" w:rsidRPr="00061BA4" w:rsidRDefault="00E97F8C" w:rsidP="00F50C86">
      <w:pPr>
        <w:pStyle w:val="NCNumbering"/>
        <w:rPr>
          <w:lang w:val="et-EE"/>
        </w:rPr>
      </w:pPr>
      <w:r w:rsidRPr="00061BA4">
        <w:rPr>
          <w:lang w:val="et-EE"/>
        </w:rPr>
        <w:t>Vaatamata eelnevale näeme, et Juhendi sisulise osaga on pandud fookus sellel</w:t>
      </w:r>
      <w:r w:rsidR="00D0632A">
        <w:rPr>
          <w:lang w:val="et-EE"/>
        </w:rPr>
        <w:t>e</w:t>
      </w:r>
      <w:r w:rsidRPr="00061BA4">
        <w:rPr>
          <w:lang w:val="et-EE"/>
        </w:rPr>
        <w:t xml:space="preserve">, et edaspidi toimub mõju hindamine KeA siseselt ning väljaspool KMH menetlust ning eraldiseisvate eksperthinnangutega. </w:t>
      </w:r>
      <w:r w:rsidR="00DA5789" w:rsidRPr="00061BA4">
        <w:rPr>
          <w:lang w:val="et-EE"/>
        </w:rPr>
        <w:t xml:space="preserve">Näiteks on leheküljel 2 viidatud, et </w:t>
      </w:r>
      <w:r w:rsidR="0088529F">
        <w:rPr>
          <w:lang w:val="et-EE"/>
        </w:rPr>
        <w:t>J</w:t>
      </w:r>
      <w:r w:rsidR="00DA5789" w:rsidRPr="00061BA4">
        <w:rPr>
          <w:lang w:val="et-EE"/>
        </w:rPr>
        <w:t>uhendit tuleb kasutada peamiselt eelhinnangu koostamise protsessis</w:t>
      </w:r>
      <w:r w:rsidR="006B2ADB" w:rsidRPr="00061BA4">
        <w:rPr>
          <w:lang w:val="et-EE"/>
        </w:rPr>
        <w:t xml:space="preserve"> ning </w:t>
      </w:r>
      <w:r w:rsidR="00061BA4" w:rsidRPr="00061BA4">
        <w:rPr>
          <w:u w:val="single"/>
          <w:lang w:val="et-EE"/>
        </w:rPr>
        <w:t xml:space="preserve">vajadusel </w:t>
      </w:r>
      <w:r w:rsidR="006B2ADB" w:rsidRPr="00061BA4">
        <w:rPr>
          <w:lang w:val="et-EE"/>
        </w:rPr>
        <w:t xml:space="preserve">KMH programmi ja KMH aruande hindamise etapis. </w:t>
      </w:r>
      <w:r w:rsidR="00AE1430">
        <w:rPr>
          <w:lang w:val="et-EE"/>
        </w:rPr>
        <w:t xml:space="preserve">Samas </w:t>
      </w:r>
      <w:r w:rsidR="0088529F">
        <w:rPr>
          <w:lang w:val="et-EE"/>
        </w:rPr>
        <w:t>J</w:t>
      </w:r>
      <w:r w:rsidR="006B2ADB" w:rsidRPr="00061BA4">
        <w:rPr>
          <w:lang w:val="et-EE"/>
        </w:rPr>
        <w:t>uhendi</w:t>
      </w:r>
      <w:r w:rsidR="0088529F">
        <w:rPr>
          <w:lang w:val="et-EE"/>
        </w:rPr>
        <w:t xml:space="preserve">s, sh joonistel </w:t>
      </w:r>
      <w:r w:rsidR="006B2ADB" w:rsidRPr="00061BA4">
        <w:rPr>
          <w:lang w:val="et-EE"/>
        </w:rPr>
        <w:t xml:space="preserve">puuduvad viited </w:t>
      </w:r>
      <w:r w:rsidR="00A00372" w:rsidRPr="00061BA4">
        <w:rPr>
          <w:lang w:val="et-EE"/>
        </w:rPr>
        <w:t xml:space="preserve">KMH-le ja eelhindamistele. Seetõttu </w:t>
      </w:r>
      <w:r w:rsidR="00DA5789" w:rsidRPr="00061BA4">
        <w:rPr>
          <w:lang w:val="et-EE"/>
        </w:rPr>
        <w:t xml:space="preserve">jääb Juhendist tervikuna mulje, et </w:t>
      </w:r>
      <w:r w:rsidR="00E633AA" w:rsidRPr="00061BA4">
        <w:rPr>
          <w:lang w:val="et"/>
        </w:rPr>
        <w:t xml:space="preserve">see keskendub lubade andmisest keeldumisele </w:t>
      </w:r>
      <w:r w:rsidR="00A00372" w:rsidRPr="00061BA4">
        <w:rPr>
          <w:lang w:val="et"/>
        </w:rPr>
        <w:t>ning mõjusid ei olegi senisel kujul vaja tasakaalustatult hinnata.</w:t>
      </w:r>
    </w:p>
    <w:p w14:paraId="2B46AF37" w14:textId="77777777" w:rsidR="00687DBB" w:rsidRDefault="0006219F" w:rsidP="00F50C86">
      <w:pPr>
        <w:pStyle w:val="NCNumbering"/>
        <w:rPr>
          <w:lang w:val="et-EE"/>
        </w:rPr>
      </w:pPr>
      <w:r w:rsidRPr="009C03C8">
        <w:rPr>
          <w:lang w:val="et-EE"/>
        </w:rPr>
        <w:t>Keskkonnaloa menetlusse võtmisel peab KeA</w:t>
      </w:r>
      <w:r w:rsidR="00A00372">
        <w:rPr>
          <w:lang w:val="et-EE"/>
        </w:rPr>
        <w:t xml:space="preserve"> alati</w:t>
      </w:r>
      <w:r w:rsidRPr="009C03C8">
        <w:rPr>
          <w:lang w:val="et-EE"/>
        </w:rPr>
        <w:t xml:space="preserve"> otsustama, kas tegevus on olulise keskkonnamõjuga ning KMH on vajalik. </w:t>
      </w:r>
      <w:r w:rsidRPr="68124591">
        <w:rPr>
          <w:lang w:val="et-EE"/>
        </w:rPr>
        <w:t xml:space="preserve">KMH on </w:t>
      </w:r>
      <w:r w:rsidR="62E0A794" w:rsidRPr="68124591">
        <w:rPr>
          <w:lang w:val="et-EE"/>
        </w:rPr>
        <w:t>automaatselt</w:t>
      </w:r>
      <w:r w:rsidRPr="009C03C8">
        <w:rPr>
          <w:lang w:val="et-EE"/>
        </w:rPr>
        <w:t xml:space="preserve"> kohustuslik KeHJS § 6 lg 1 alusel </w:t>
      </w:r>
      <w:r w:rsidR="0088529F">
        <w:rPr>
          <w:lang w:val="et-EE"/>
        </w:rPr>
        <w:t xml:space="preserve">ning muul juhul KMH algatamise üle </w:t>
      </w:r>
      <w:r w:rsidRPr="009C03C8">
        <w:rPr>
          <w:lang w:val="et-EE"/>
        </w:rPr>
        <w:t>otsustamine lähtub eelhinnangust</w:t>
      </w:r>
      <w:r w:rsidR="005C03EE">
        <w:rPr>
          <w:lang w:val="et-EE"/>
        </w:rPr>
        <w:t>, mille aluseks võib olla ka haldusvälise eksperdi analüüs.</w:t>
      </w:r>
      <w:r w:rsidRPr="009C03C8">
        <w:rPr>
          <w:lang w:val="et-EE"/>
        </w:rPr>
        <w:t xml:space="preserve"> </w:t>
      </w:r>
      <w:r w:rsidR="00687DBB" w:rsidRPr="009C03C8">
        <w:rPr>
          <w:lang w:val="et-EE"/>
        </w:rPr>
        <w:t xml:space="preserve">Kui KMH ei ole vajalik, siis võib eeldada olulise keskkonnamõju puudumist. Samas </w:t>
      </w:r>
      <w:r w:rsidR="00687DBB">
        <w:rPr>
          <w:lang w:val="et-EE"/>
        </w:rPr>
        <w:t>J</w:t>
      </w:r>
      <w:r w:rsidR="00687DBB" w:rsidRPr="009C03C8">
        <w:rPr>
          <w:lang w:val="et-EE"/>
        </w:rPr>
        <w:t xml:space="preserve">uhendit lugedes jääb mulje, et isegi kavandatava tegevuse olulise keskkonnamõju puudumisel võib keskkonnaloa andmisest keelduda. </w:t>
      </w:r>
      <w:r w:rsidR="009E584F">
        <w:rPr>
          <w:lang w:val="et-EE"/>
        </w:rPr>
        <w:t>Kui alus KMH algatamiseks puudub, siis ei saa keskkonnaohu tõttu teha ka keelduvat otsust.</w:t>
      </w:r>
    </w:p>
    <w:p w14:paraId="51BC953D" w14:textId="77777777" w:rsidR="000E48DE" w:rsidRDefault="00317151" w:rsidP="00F50C86">
      <w:pPr>
        <w:pStyle w:val="NCNumbering"/>
        <w:rPr>
          <w:lang w:val="et-EE"/>
        </w:rPr>
      </w:pPr>
      <w:r>
        <w:rPr>
          <w:lang w:val="et-EE"/>
        </w:rPr>
        <w:t>Juhendi</w:t>
      </w:r>
      <w:r w:rsidR="007663B0">
        <w:rPr>
          <w:lang w:val="et-EE"/>
        </w:rPr>
        <w:t xml:space="preserve">s puuduvad </w:t>
      </w:r>
      <w:r w:rsidR="0077282A">
        <w:rPr>
          <w:lang w:val="et-EE"/>
        </w:rPr>
        <w:t xml:space="preserve">ka </w:t>
      </w:r>
      <w:r w:rsidR="007663B0">
        <w:rPr>
          <w:lang w:val="et-EE"/>
        </w:rPr>
        <w:t>seose</w:t>
      </w:r>
      <w:r w:rsidR="009E584F">
        <w:rPr>
          <w:lang w:val="et-EE"/>
        </w:rPr>
        <w:t>d</w:t>
      </w:r>
      <w:r w:rsidR="007663B0">
        <w:rPr>
          <w:lang w:val="et-EE"/>
        </w:rPr>
        <w:t xml:space="preserve"> eeskätt KMH ekspertide ning menetlusse kaasatud </w:t>
      </w:r>
      <w:r w:rsidR="009E584F">
        <w:rPr>
          <w:lang w:val="et-EE"/>
        </w:rPr>
        <w:t xml:space="preserve">haldusväliste </w:t>
      </w:r>
      <w:r w:rsidR="007663B0">
        <w:rPr>
          <w:lang w:val="et-EE"/>
        </w:rPr>
        <w:t>ekspertide</w:t>
      </w:r>
      <w:r w:rsidR="009E584F">
        <w:rPr>
          <w:lang w:val="et-EE"/>
        </w:rPr>
        <w:t xml:space="preserve"> sisendiga</w:t>
      </w:r>
      <w:r w:rsidR="007663B0">
        <w:rPr>
          <w:lang w:val="et-EE"/>
        </w:rPr>
        <w:t xml:space="preserve">. Näiteks lk 6 viitab, et erandi tegemiseks on vaja </w:t>
      </w:r>
      <w:r w:rsidR="00CA3837">
        <w:rPr>
          <w:lang w:val="et-EE"/>
        </w:rPr>
        <w:t>sisend või eksperthinnang KeA eluslooduse valdkonna pädeva spetsialisti või asutusevälise liigi- või elupaigaspetsialisti poolt</w:t>
      </w:r>
      <w:r w:rsidR="009C45E1">
        <w:rPr>
          <w:lang w:val="et-EE"/>
        </w:rPr>
        <w:t>. Häiringutest sõltuva või tehismaastikke asustava liigi poolt viidatakse, et koostööd LKB ja LHB-ga vajalik koostada vastavate liikide nimekiri ajurünnakuga.</w:t>
      </w:r>
      <w:r w:rsidR="00400971">
        <w:rPr>
          <w:lang w:val="et-EE"/>
        </w:rPr>
        <w:t xml:space="preserve"> Juhend jätab põhjendamatult tähelepanuta, et KMH menetluses toimub mõjude hindamine sõltumatute </w:t>
      </w:r>
      <w:r w:rsidR="00946FCB">
        <w:rPr>
          <w:lang w:val="et-EE"/>
        </w:rPr>
        <w:t xml:space="preserve">litsentsi omavate </w:t>
      </w:r>
      <w:r w:rsidR="00400971">
        <w:rPr>
          <w:lang w:val="et-EE"/>
        </w:rPr>
        <w:t xml:space="preserve">keskkonnaekspertide poolt. </w:t>
      </w:r>
      <w:r w:rsidR="009C45E1">
        <w:rPr>
          <w:lang w:val="et-EE"/>
        </w:rPr>
        <w:t xml:space="preserve"> </w:t>
      </w:r>
    </w:p>
    <w:p w14:paraId="4AB63135" w14:textId="77777777" w:rsidR="00E633AA" w:rsidRPr="00C37E1F" w:rsidRDefault="009C03C8" w:rsidP="00F50C86">
      <w:pPr>
        <w:pStyle w:val="NCNumbering"/>
        <w:rPr>
          <w:lang w:val="et-EE"/>
        </w:rPr>
      </w:pPr>
      <w:r w:rsidRPr="009C03C8">
        <w:rPr>
          <w:lang w:val="et"/>
        </w:rPr>
        <w:t>Usume, et KeA eesmärk</w:t>
      </w:r>
      <w:r w:rsidR="000E48DE">
        <w:rPr>
          <w:lang w:val="et"/>
        </w:rPr>
        <w:t xml:space="preserve"> ei ole olnud tekitada eraldiseisvat ning KMH menetlust välistava</w:t>
      </w:r>
      <w:r w:rsidR="00BD0904">
        <w:rPr>
          <w:lang w:val="et"/>
        </w:rPr>
        <w:t>t</w:t>
      </w:r>
      <w:r w:rsidR="000E48DE">
        <w:rPr>
          <w:lang w:val="et"/>
        </w:rPr>
        <w:t xml:space="preserve"> protsessi</w:t>
      </w:r>
      <w:r w:rsidR="007A3509">
        <w:rPr>
          <w:lang w:val="et"/>
        </w:rPr>
        <w:t xml:space="preserve">. </w:t>
      </w:r>
      <w:r w:rsidR="009845B1">
        <w:rPr>
          <w:lang w:val="et"/>
        </w:rPr>
        <w:t>P</w:t>
      </w:r>
      <w:r w:rsidR="00EB01BD" w:rsidRPr="009C03C8">
        <w:rPr>
          <w:u w:val="single"/>
          <w:lang w:val="et"/>
        </w:rPr>
        <w:t xml:space="preserve">alume Juhendit täiendada selliselt, et </w:t>
      </w:r>
      <w:r w:rsidR="00F15A56" w:rsidRPr="009C03C8">
        <w:rPr>
          <w:u w:val="single"/>
          <w:lang w:val="et"/>
        </w:rPr>
        <w:t xml:space="preserve">lisatakse kogu </w:t>
      </w:r>
      <w:r w:rsidR="00E633AA" w:rsidRPr="009C03C8">
        <w:rPr>
          <w:u w:val="single"/>
          <w:lang w:val="et"/>
        </w:rPr>
        <w:t xml:space="preserve">protsessikirjeldus ning </w:t>
      </w:r>
      <w:r w:rsidR="0042789A">
        <w:rPr>
          <w:u w:val="single"/>
          <w:lang w:val="et"/>
        </w:rPr>
        <w:t xml:space="preserve">joonis </w:t>
      </w:r>
      <w:r w:rsidR="00F15A56" w:rsidRPr="009C03C8">
        <w:rPr>
          <w:u w:val="single"/>
          <w:lang w:val="et"/>
        </w:rPr>
        <w:t xml:space="preserve">sellest, kuidas kohaldab KeA edaspidi </w:t>
      </w:r>
      <w:r w:rsidR="007A3509">
        <w:rPr>
          <w:u w:val="single"/>
          <w:lang w:val="et"/>
        </w:rPr>
        <w:t>J</w:t>
      </w:r>
      <w:r w:rsidR="00F15A56" w:rsidRPr="009C03C8">
        <w:rPr>
          <w:u w:val="single"/>
          <w:lang w:val="et"/>
        </w:rPr>
        <w:t>uhendit KMH menetluses.</w:t>
      </w:r>
      <w:r w:rsidR="007A3509">
        <w:rPr>
          <w:u w:val="single"/>
          <w:lang w:val="et"/>
        </w:rPr>
        <w:t xml:space="preserve"> </w:t>
      </w:r>
      <w:r w:rsidR="005618D9">
        <w:rPr>
          <w:u w:val="single"/>
          <w:lang w:val="et"/>
        </w:rPr>
        <w:t xml:space="preserve">Juhend peab </w:t>
      </w:r>
      <w:r w:rsidR="00016D60">
        <w:rPr>
          <w:u w:val="single"/>
          <w:lang w:val="et"/>
        </w:rPr>
        <w:t xml:space="preserve">lähtuma põhimõttest, et asjakohane ning usaldusväärne info kaalutlusotsuse tegemiseks saab tulla ka KMH eksperdilt, sh menetlusse kaasatud </w:t>
      </w:r>
      <w:r w:rsidR="0042789A">
        <w:rPr>
          <w:u w:val="single"/>
          <w:lang w:val="et"/>
        </w:rPr>
        <w:t>haldusvälistelt ekspertidelt</w:t>
      </w:r>
      <w:r w:rsidR="00B53CD0">
        <w:rPr>
          <w:u w:val="single"/>
          <w:lang w:val="et"/>
        </w:rPr>
        <w:t xml:space="preserve">. </w:t>
      </w:r>
    </w:p>
    <w:p w14:paraId="4A8A953F" w14:textId="77777777" w:rsidR="00A91A94" w:rsidRDefault="00886E70" w:rsidP="00A91A94">
      <w:pPr>
        <w:pStyle w:val="1stlevelheading"/>
      </w:pPr>
      <w:r>
        <w:t xml:space="preserve">Kaitsealuse liigi või elupaiga </w:t>
      </w:r>
      <w:r w:rsidR="00BD51E0">
        <w:t xml:space="preserve">tuvastamine </w:t>
      </w:r>
      <w:r w:rsidR="001A241A">
        <w:t>ei too automaatselt kaasa keskkonnaohtu</w:t>
      </w:r>
    </w:p>
    <w:p w14:paraId="418C674E" w14:textId="77777777" w:rsidR="003C56E7" w:rsidRDefault="00796244" w:rsidP="00F50C86">
      <w:pPr>
        <w:pStyle w:val="NCNumbering"/>
        <w:rPr>
          <w:lang w:val="et-EE"/>
        </w:rPr>
      </w:pPr>
      <w:r w:rsidRPr="00651836">
        <w:rPr>
          <w:lang w:val="et-EE"/>
        </w:rPr>
        <w:t xml:space="preserve">KeÜS </w:t>
      </w:r>
      <w:bookmarkStart w:id="0" w:name="para52lg1p6"/>
      <w:r w:rsidR="00A20646" w:rsidRPr="00651836">
        <w:rPr>
          <w:lang w:val="et-EE"/>
        </w:rPr>
        <w:t xml:space="preserve">§ 52 lg 1 p 6 kohaselt </w:t>
      </w:r>
      <w:r w:rsidR="00A20646" w:rsidRPr="00B53CD0">
        <w:rPr>
          <w:b/>
          <w:bCs/>
          <w:lang w:val="et-EE"/>
        </w:rPr>
        <w:t xml:space="preserve">võib </w:t>
      </w:r>
      <w:r w:rsidR="00A20646" w:rsidRPr="00651836">
        <w:rPr>
          <w:lang w:val="et-EE"/>
        </w:rPr>
        <w:t xml:space="preserve">keskkonnaloast keelduda, kui </w:t>
      </w:r>
      <w:bookmarkEnd w:id="0"/>
      <w:r w:rsidRPr="00651836">
        <w:rPr>
          <w:lang w:val="et-EE"/>
        </w:rPr>
        <w:t>tegevusega kaasneb keskkonnaoht, mida ei ole võimalik vältida</w:t>
      </w:r>
      <w:r w:rsidR="00651836" w:rsidRPr="00651836">
        <w:rPr>
          <w:lang w:val="et-EE"/>
        </w:rPr>
        <w:t xml:space="preserve">. </w:t>
      </w:r>
      <w:r w:rsidR="001100D1" w:rsidRPr="001100D1">
        <w:rPr>
          <w:lang w:val="et-EE"/>
        </w:rPr>
        <w:t xml:space="preserve">Keskkonnaoht esineb, kui </w:t>
      </w:r>
      <w:r w:rsidR="001100D1">
        <w:rPr>
          <w:lang w:val="et-EE"/>
        </w:rPr>
        <w:t>tegevuse</w:t>
      </w:r>
      <w:r w:rsidR="001100D1" w:rsidRPr="001100D1">
        <w:rPr>
          <w:lang w:val="et-EE"/>
        </w:rPr>
        <w:t xml:space="preserve"> elluviimine toob piisava tõenäosusega kaasa keskkonnakahju või olulise keskkonnamõju (KeÜS § 3 lg 2 p-d 3 ja 4, § 5). </w:t>
      </w:r>
      <w:r w:rsidR="00C45FD1">
        <w:rPr>
          <w:lang w:val="et-EE"/>
        </w:rPr>
        <w:t xml:space="preserve">Järelikult keskkonnaohu tuvastamise korral võib, aga ei pea keskkonnaloast keelduma. </w:t>
      </w:r>
    </w:p>
    <w:p w14:paraId="4263F7DF" w14:textId="77777777" w:rsidR="008D1A7E" w:rsidRDefault="00C074E4" w:rsidP="00F50C86">
      <w:pPr>
        <w:pStyle w:val="NCNumbering"/>
        <w:rPr>
          <w:lang w:val="et-EE"/>
        </w:rPr>
      </w:pPr>
      <w:r>
        <w:rPr>
          <w:lang w:val="et-EE"/>
        </w:rPr>
        <w:lastRenderedPageBreak/>
        <w:t>Elbu lahendis selgitati</w:t>
      </w:r>
      <w:r w:rsidR="00E62BD0">
        <w:rPr>
          <w:lang w:val="et-EE"/>
        </w:rPr>
        <w:t xml:space="preserve">, et keskkonnaoht eeldab mõju olulisuse hindamist. </w:t>
      </w:r>
      <w:r w:rsidR="003C56E7">
        <w:rPr>
          <w:lang w:val="et-EE"/>
        </w:rPr>
        <w:t xml:space="preserve">Riigikohtu praktikast lähtub, et keskkonnaohuna saab käsitleda </w:t>
      </w:r>
      <w:r w:rsidR="001100D1" w:rsidRPr="00941BC7">
        <w:rPr>
          <w:lang w:val="et-EE"/>
        </w:rPr>
        <w:t>eelkõige oluli</w:t>
      </w:r>
      <w:r w:rsidR="003C56E7" w:rsidRPr="00941BC7">
        <w:rPr>
          <w:lang w:val="et-EE"/>
        </w:rPr>
        <w:t xml:space="preserve">st </w:t>
      </w:r>
      <w:r w:rsidR="001100D1" w:rsidRPr="00941BC7">
        <w:rPr>
          <w:lang w:val="et-EE"/>
        </w:rPr>
        <w:t>ebasood</w:t>
      </w:r>
      <w:r w:rsidR="003C56E7" w:rsidRPr="00941BC7">
        <w:rPr>
          <w:lang w:val="et-EE"/>
        </w:rPr>
        <w:t>sat mõju</w:t>
      </w:r>
      <w:r w:rsidR="003C56E7" w:rsidRPr="003C56E7">
        <w:rPr>
          <w:u w:val="single"/>
          <w:lang w:val="et-EE"/>
        </w:rPr>
        <w:t xml:space="preserve"> </w:t>
      </w:r>
      <w:r w:rsidR="003C56E7">
        <w:rPr>
          <w:lang w:val="et-EE"/>
        </w:rPr>
        <w:t xml:space="preserve">kaitsealuse liigi seisundile </w:t>
      </w:r>
      <w:r w:rsidR="00EF1679">
        <w:rPr>
          <w:lang w:val="et-EE"/>
        </w:rPr>
        <w:t>(RKHKo 3-20-1329</w:t>
      </w:r>
      <w:r w:rsidR="00941BC7">
        <w:rPr>
          <w:lang w:val="et-EE"/>
        </w:rPr>
        <w:t>,</w:t>
      </w:r>
      <w:r w:rsidR="00D656DA">
        <w:rPr>
          <w:lang w:val="et-EE"/>
        </w:rPr>
        <w:t xml:space="preserve"> p 45)</w:t>
      </w:r>
      <w:r w:rsidR="003C56E7">
        <w:rPr>
          <w:lang w:val="et-EE"/>
        </w:rPr>
        <w:t>.</w:t>
      </w:r>
      <w:r w:rsidR="001100D1" w:rsidRPr="001100D1">
        <w:rPr>
          <w:lang w:val="et-EE"/>
        </w:rPr>
        <w:t xml:space="preserve"> Liigi</w:t>
      </w:r>
      <w:r w:rsidR="00EF1679">
        <w:rPr>
          <w:lang w:val="et-EE"/>
        </w:rPr>
        <w:t xml:space="preserve"> ja elupaiga</w:t>
      </w:r>
      <w:r w:rsidR="001100D1" w:rsidRPr="001100D1">
        <w:rPr>
          <w:lang w:val="et-EE"/>
        </w:rPr>
        <w:t xml:space="preserve"> seisund on soodne, kui selle asurkonna arvukus näitab, et liik säilib kaugemas tulevikus oma looduslike elupaikade või kasvukohtade elujõulise koostisosana, kui liigi looduslik levila ei kahane ning liigi asurkondade pikaajaliseks säilimiseks on praegu ja tõenäoliselt ka edaspidi olemas piisavalt suur elupaik (LKS § 2 lg 2).</w:t>
      </w:r>
      <w:r w:rsidR="00D656DA">
        <w:rPr>
          <w:lang w:val="et-EE"/>
        </w:rPr>
        <w:t xml:space="preserve"> </w:t>
      </w:r>
    </w:p>
    <w:p w14:paraId="10290C5E" w14:textId="77777777" w:rsidR="00995584" w:rsidRDefault="00C074E4" w:rsidP="00F50C86">
      <w:pPr>
        <w:pStyle w:val="NCNumbering"/>
        <w:rPr>
          <w:lang w:val="et-EE"/>
        </w:rPr>
      </w:pPr>
      <w:r>
        <w:rPr>
          <w:lang w:val="et-EE"/>
        </w:rPr>
        <w:t>Riigikohtu praktika kohaselt haldusasjas nr 3-20-1329 (p 26), sõltub h</w:t>
      </w:r>
      <w:r w:rsidR="008D1A7E" w:rsidRPr="008D1A7E">
        <w:rPr>
          <w:lang w:val="et-EE"/>
        </w:rPr>
        <w:t>innang keskkonnaohule kahju tõenäosuse kõrval sellest, kui oluline on kavandatava tegevuse tagajärg</w:t>
      </w:r>
      <w:r w:rsidR="008D1A7E">
        <w:rPr>
          <w:lang w:val="et-EE"/>
        </w:rPr>
        <w:t xml:space="preserve">. </w:t>
      </w:r>
      <w:r w:rsidR="008A179B" w:rsidRPr="008A179B">
        <w:rPr>
          <w:lang w:val="et-EE"/>
        </w:rPr>
        <w:t xml:space="preserve">Nii kahju tõenäosust kui võimaliku tagajärje olulisust tuleb </w:t>
      </w:r>
      <w:r w:rsidR="008A179B" w:rsidRPr="00266F4E">
        <w:rPr>
          <w:lang w:val="et-EE"/>
        </w:rPr>
        <w:t>hinnata konkreetse</w:t>
      </w:r>
      <w:r w:rsidR="008A179B" w:rsidRPr="008A179B">
        <w:rPr>
          <w:lang w:val="et-EE"/>
        </w:rPr>
        <w:t xml:space="preserve"> juhtumi asjaoludest lähtudes. </w:t>
      </w:r>
      <w:r w:rsidR="00303336">
        <w:rPr>
          <w:lang w:val="et-EE"/>
        </w:rPr>
        <w:t xml:space="preserve">Saame aru, et kohtupraktika kohaselt tuleks keskkonnamõjude kontekstis </w:t>
      </w:r>
      <w:r>
        <w:rPr>
          <w:lang w:val="et-EE"/>
        </w:rPr>
        <w:t xml:space="preserve">läbida järgnevad etapid ning selgitada </w:t>
      </w:r>
      <w:r w:rsidR="00303336">
        <w:rPr>
          <w:lang w:val="et-EE"/>
        </w:rPr>
        <w:t>välja</w:t>
      </w:r>
      <w:r w:rsidR="00E85C9B">
        <w:rPr>
          <w:lang w:val="et-EE"/>
        </w:rPr>
        <w:t xml:space="preserve"> ja hinnata</w:t>
      </w:r>
      <w:r w:rsidR="00303336">
        <w:rPr>
          <w:lang w:val="et-EE"/>
        </w:rPr>
        <w:t xml:space="preserve">: </w:t>
      </w:r>
    </w:p>
    <w:p w14:paraId="11CC2A46" w14:textId="77777777" w:rsidR="00D656DA" w:rsidRDefault="00E62BD0" w:rsidP="00D656DA">
      <w:pPr>
        <w:pStyle w:val="NCNumbering"/>
        <w:numPr>
          <w:ilvl w:val="1"/>
          <w:numId w:val="5"/>
        </w:numPr>
        <w:rPr>
          <w:lang w:val="et-EE"/>
        </w:rPr>
      </w:pPr>
      <w:r>
        <w:rPr>
          <w:lang w:val="et-EE"/>
        </w:rPr>
        <w:t>k</w:t>
      </w:r>
      <w:r w:rsidR="00D656DA">
        <w:rPr>
          <w:lang w:val="et-EE"/>
        </w:rPr>
        <w:t>aitsealuste liikide ja elupaikade esinemine kavandatava tegevuse alal</w:t>
      </w:r>
      <w:r w:rsidR="00303336">
        <w:rPr>
          <w:lang w:val="et-EE"/>
        </w:rPr>
        <w:t xml:space="preserve"> või selle lähialal</w:t>
      </w:r>
      <w:r w:rsidR="00C074E4">
        <w:rPr>
          <w:lang w:val="et-EE"/>
        </w:rPr>
        <w:t>;</w:t>
      </w:r>
    </w:p>
    <w:p w14:paraId="607E74C7" w14:textId="77777777" w:rsidR="00303336" w:rsidRDefault="003A4D24" w:rsidP="00303336">
      <w:pPr>
        <w:pStyle w:val="NCNumbering"/>
        <w:numPr>
          <w:ilvl w:val="1"/>
          <w:numId w:val="5"/>
        </w:numPr>
        <w:rPr>
          <w:lang w:val="et-EE"/>
        </w:rPr>
      </w:pPr>
      <w:r>
        <w:rPr>
          <w:lang w:val="et-EE"/>
        </w:rPr>
        <w:t>kas LKS § 2 lg 2 tähenduses on</w:t>
      </w:r>
      <w:r w:rsidR="00C161BF">
        <w:rPr>
          <w:lang w:val="et-EE"/>
        </w:rPr>
        <w:t xml:space="preserve"> negatiivselt mõjutatava</w:t>
      </w:r>
      <w:r>
        <w:rPr>
          <w:lang w:val="et-EE"/>
        </w:rPr>
        <w:t xml:space="preserve"> </w:t>
      </w:r>
      <w:r w:rsidR="001F0002">
        <w:rPr>
          <w:lang w:val="et-EE"/>
        </w:rPr>
        <w:t xml:space="preserve">liigi või elupaiga </w:t>
      </w:r>
      <w:r>
        <w:rPr>
          <w:lang w:val="et-EE"/>
        </w:rPr>
        <w:t>seisund soodne</w:t>
      </w:r>
      <w:r w:rsidR="00C161BF">
        <w:rPr>
          <w:lang w:val="et-EE"/>
        </w:rPr>
        <w:t xml:space="preserve"> Eestis</w:t>
      </w:r>
      <w:r>
        <w:rPr>
          <w:lang w:val="et-EE"/>
        </w:rPr>
        <w:t>;</w:t>
      </w:r>
    </w:p>
    <w:p w14:paraId="6E52DCB8" w14:textId="77777777" w:rsidR="00E85C9B" w:rsidRDefault="00E85C9B" w:rsidP="00E85C9B">
      <w:pPr>
        <w:pStyle w:val="NCNumbering"/>
        <w:numPr>
          <w:ilvl w:val="1"/>
          <w:numId w:val="5"/>
        </w:numPr>
        <w:rPr>
          <w:lang w:val="et-EE"/>
        </w:rPr>
      </w:pPr>
      <w:r w:rsidRPr="00303336">
        <w:rPr>
          <w:lang w:val="et-EE"/>
        </w:rPr>
        <w:t>kas kavandatava tegevuse lubamine toob kaasa olulise ebasoodsa mõju  kaitsealuse liigi ja elupaikade soodsale seisundile;</w:t>
      </w:r>
    </w:p>
    <w:p w14:paraId="7BEA644B" w14:textId="77777777" w:rsidR="00797773" w:rsidRPr="00303336" w:rsidRDefault="00797773" w:rsidP="00303336">
      <w:pPr>
        <w:pStyle w:val="NCNumbering"/>
        <w:numPr>
          <w:ilvl w:val="1"/>
          <w:numId w:val="5"/>
        </w:numPr>
        <w:rPr>
          <w:lang w:val="et-EE"/>
        </w:rPr>
      </w:pPr>
      <w:r>
        <w:rPr>
          <w:lang w:val="et-EE"/>
        </w:rPr>
        <w:t>hinnata olulis</w:t>
      </w:r>
      <w:r w:rsidR="005975E9">
        <w:rPr>
          <w:lang w:val="et-EE"/>
        </w:rPr>
        <w:t xml:space="preserve">e keskkonnahäiringu tõenäosust olukorras, kus kaitsealuseid liike ja elupaigatüüpe </w:t>
      </w:r>
      <w:r w:rsidR="001B52CC">
        <w:rPr>
          <w:lang w:val="et-EE"/>
        </w:rPr>
        <w:t>ei ole tuvastatud;</w:t>
      </w:r>
    </w:p>
    <w:p w14:paraId="6A168F59" w14:textId="77777777" w:rsidR="00E12303" w:rsidRDefault="002953B9" w:rsidP="00D656DA">
      <w:pPr>
        <w:pStyle w:val="NCNumbering"/>
        <w:numPr>
          <w:ilvl w:val="1"/>
          <w:numId w:val="5"/>
        </w:numPr>
        <w:rPr>
          <w:lang w:val="et-EE"/>
        </w:rPr>
      </w:pPr>
      <w:r>
        <w:rPr>
          <w:lang w:val="et-EE"/>
        </w:rPr>
        <w:t xml:space="preserve">analüüsida ebasoodsat mõju </w:t>
      </w:r>
      <w:r w:rsidR="00E12303">
        <w:rPr>
          <w:lang w:val="et-EE"/>
        </w:rPr>
        <w:t>leevendavaid meetmeid</w:t>
      </w:r>
      <w:r w:rsidR="0022313C">
        <w:rPr>
          <w:lang w:val="et-EE"/>
        </w:rPr>
        <w:t>. Näiteks Riigikohtu lahendi</w:t>
      </w:r>
      <w:r w:rsidR="001B52CC">
        <w:rPr>
          <w:lang w:val="et-EE"/>
        </w:rPr>
        <w:t>s</w:t>
      </w:r>
      <w:r w:rsidR="0022313C">
        <w:rPr>
          <w:lang w:val="et-EE"/>
        </w:rPr>
        <w:t xml:space="preserve"> 3-20-1329 p-s 47 selgitas </w:t>
      </w:r>
      <w:r>
        <w:rPr>
          <w:lang w:val="et-EE"/>
        </w:rPr>
        <w:t xml:space="preserve">kohus, et </w:t>
      </w:r>
      <w:r w:rsidRPr="002953B9">
        <w:rPr>
          <w:lang w:val="et-EE"/>
        </w:rPr>
        <w:t>planeeringulahendusel</w:t>
      </w:r>
      <w:r>
        <w:rPr>
          <w:lang w:val="et-EE"/>
        </w:rPr>
        <w:t xml:space="preserve"> </w:t>
      </w:r>
      <w:r w:rsidRPr="002953B9">
        <w:rPr>
          <w:lang w:val="et-EE"/>
        </w:rPr>
        <w:t>võib olla oluline ebasoodne mõju mägi-piimputke seisundile vähemalt juhul, kui puudub piisav puhverala ega ole ette nähtud leevendusmeetmeid, mis vähendavad ehitamisest ja ehitiste kasutamisest lähtuvat ebasoodsat mõju.</w:t>
      </w:r>
      <w:r w:rsidR="000A4D34">
        <w:rPr>
          <w:lang w:val="et-EE"/>
        </w:rPr>
        <w:t xml:space="preserve"> </w:t>
      </w:r>
    </w:p>
    <w:p w14:paraId="7E863E24" w14:textId="77777777" w:rsidR="003A4D24" w:rsidRDefault="00E12303" w:rsidP="00D656DA">
      <w:pPr>
        <w:pStyle w:val="NCNumbering"/>
        <w:numPr>
          <w:ilvl w:val="1"/>
          <w:numId w:val="5"/>
        </w:numPr>
        <w:rPr>
          <w:lang w:val="et-EE"/>
        </w:rPr>
      </w:pPr>
      <w:r>
        <w:rPr>
          <w:lang w:val="et-EE"/>
        </w:rPr>
        <w:t xml:space="preserve"> </w:t>
      </w:r>
      <w:r w:rsidR="002953B9">
        <w:rPr>
          <w:lang w:val="et-EE"/>
        </w:rPr>
        <w:t>o</w:t>
      </w:r>
      <w:r w:rsidR="005642B3">
        <w:rPr>
          <w:lang w:val="et-EE"/>
        </w:rPr>
        <w:t xml:space="preserve">lulise ebasoodsa mõju korral </w:t>
      </w:r>
      <w:r w:rsidR="00BD51E0">
        <w:rPr>
          <w:lang w:val="et-EE"/>
        </w:rPr>
        <w:t xml:space="preserve">kaaluda, kas </w:t>
      </w:r>
      <w:r w:rsidR="00BD51E0" w:rsidRPr="00651836">
        <w:rPr>
          <w:lang w:val="et-EE"/>
        </w:rPr>
        <w:t>KeÜS § 52 lg 1 p 6</w:t>
      </w:r>
      <w:r w:rsidR="00BD51E0">
        <w:rPr>
          <w:lang w:val="et-EE"/>
        </w:rPr>
        <w:t xml:space="preserve"> tähenduses puuduvad mõistlikud alternatiivid ja esineb avalik huvi keskkonnaloa andmiseks.</w:t>
      </w:r>
    </w:p>
    <w:p w14:paraId="7F0AF218" w14:textId="77777777" w:rsidR="004436F9" w:rsidRDefault="008C6258" w:rsidP="00F50C86">
      <w:pPr>
        <w:pStyle w:val="NCNumbering"/>
        <w:rPr>
          <w:lang w:val="et-EE"/>
        </w:rPr>
      </w:pPr>
      <w:r w:rsidRPr="004436F9">
        <w:rPr>
          <w:lang w:val="et-EE"/>
        </w:rPr>
        <w:t>Juhend läheb siiski kaugemale</w:t>
      </w:r>
      <w:r w:rsidR="00FD1444" w:rsidRPr="004436F9">
        <w:rPr>
          <w:lang w:val="et-EE"/>
        </w:rPr>
        <w:t xml:space="preserve"> </w:t>
      </w:r>
      <w:r w:rsidRPr="004436F9">
        <w:rPr>
          <w:lang w:val="et-EE"/>
        </w:rPr>
        <w:t xml:space="preserve">Riigikohtu juhistest, sest sisuliselt on tekitatud </w:t>
      </w:r>
      <w:r w:rsidR="001F75DB">
        <w:rPr>
          <w:lang w:val="et-EE"/>
        </w:rPr>
        <w:t xml:space="preserve">üksnes maavara kaevanduslubade menetlustes </w:t>
      </w:r>
      <w:r w:rsidR="009B0102" w:rsidRPr="004436F9">
        <w:rPr>
          <w:lang w:val="et-EE"/>
        </w:rPr>
        <w:t xml:space="preserve">elupaigatüübi ja kaitsealuste liikide </w:t>
      </w:r>
      <w:r w:rsidR="002953B9" w:rsidRPr="004436F9">
        <w:rPr>
          <w:lang w:val="et-EE"/>
        </w:rPr>
        <w:t xml:space="preserve">tuvastamisel </w:t>
      </w:r>
      <w:r w:rsidR="00FD1444" w:rsidRPr="004436F9">
        <w:rPr>
          <w:lang w:val="et-EE"/>
        </w:rPr>
        <w:t xml:space="preserve">automaatne võimalus keelduda. </w:t>
      </w:r>
      <w:r w:rsidR="00E80EB9" w:rsidRPr="00BC203B">
        <w:rPr>
          <w:b/>
          <w:lang w:val="et-EE"/>
        </w:rPr>
        <w:t xml:space="preserve">Sellist juhist Riigikohus </w:t>
      </w:r>
      <w:r w:rsidR="004A7135" w:rsidRPr="00BC203B">
        <w:rPr>
          <w:b/>
          <w:lang w:val="et-EE"/>
        </w:rPr>
        <w:t xml:space="preserve">eeskätt Elbu lahendis </w:t>
      </w:r>
      <w:r w:rsidR="00E80EB9" w:rsidRPr="00BC203B">
        <w:rPr>
          <w:b/>
          <w:lang w:val="et-EE"/>
        </w:rPr>
        <w:t xml:space="preserve">ei andnud ning see on vastuolus senise </w:t>
      </w:r>
      <w:r w:rsidR="007145F2" w:rsidRPr="00BC203B">
        <w:rPr>
          <w:b/>
          <w:lang w:val="et-EE"/>
        </w:rPr>
        <w:t xml:space="preserve">KeA praktikaga nii keskkonnalubade menetlusel, kui ka planeeringute ja ehituslubade menetlustes </w:t>
      </w:r>
      <w:r w:rsidR="4CEBBCCE" w:rsidRPr="00BC203B">
        <w:rPr>
          <w:b/>
          <w:lang w:val="et-EE"/>
        </w:rPr>
        <w:t>kooskõlastuste</w:t>
      </w:r>
      <w:r w:rsidR="007145F2" w:rsidRPr="00BC203B">
        <w:rPr>
          <w:b/>
          <w:lang w:val="et-EE"/>
        </w:rPr>
        <w:t xml:space="preserve"> andmisel. </w:t>
      </w:r>
      <w:r w:rsidR="00250D46" w:rsidRPr="00BC203B">
        <w:rPr>
          <w:b/>
          <w:lang w:val="et-EE"/>
        </w:rPr>
        <w:t>Juhendis esitatud hinnangud võivad olla normide tõlgendamisel relevantsed, kuid need ei ole menetlustes otsuste tegemiseks ainukesed tõlgendusallikad.</w:t>
      </w:r>
    </w:p>
    <w:p w14:paraId="61F68F35" w14:textId="77777777" w:rsidR="00AF5AB4" w:rsidRPr="00C04310" w:rsidRDefault="007C5C2F" w:rsidP="00F50C86">
      <w:pPr>
        <w:pStyle w:val="NCNumbering"/>
        <w:rPr>
          <w:lang w:val="et-EE"/>
        </w:rPr>
      </w:pPr>
      <w:r>
        <w:rPr>
          <w:lang w:val="et-EE"/>
        </w:rPr>
        <w:t xml:space="preserve">Oleme arvamusel, et range kaitsekohustus peaks kehtima üksnes I kaitsekategooria liikide ning nende elupaikade </w:t>
      </w:r>
      <w:r w:rsidR="004A7135">
        <w:rPr>
          <w:lang w:val="et-EE"/>
        </w:rPr>
        <w:t>tuvastamisel</w:t>
      </w:r>
      <w:r>
        <w:rPr>
          <w:lang w:val="et-EE"/>
        </w:rPr>
        <w:t>.</w:t>
      </w:r>
      <w:r w:rsidR="7DC73139" w:rsidRPr="23FDA690">
        <w:rPr>
          <w:lang w:val="et-EE"/>
        </w:rPr>
        <w:t xml:space="preserve"> </w:t>
      </w:r>
      <w:r w:rsidR="000A4D34">
        <w:rPr>
          <w:lang w:val="et-EE"/>
        </w:rPr>
        <w:t>Samas n</w:t>
      </w:r>
      <w:r w:rsidR="00AF5AB4" w:rsidRPr="004436F9">
        <w:rPr>
          <w:lang w:val="et-EE"/>
        </w:rPr>
        <w:t xml:space="preserve">äiteks Juhendi </w:t>
      </w:r>
      <w:r w:rsidR="004A7135">
        <w:rPr>
          <w:lang w:val="et-EE"/>
        </w:rPr>
        <w:t xml:space="preserve">joonisega </w:t>
      </w:r>
      <w:r w:rsidR="00205D56" w:rsidRPr="004436F9">
        <w:rPr>
          <w:lang w:val="et-EE"/>
        </w:rPr>
        <w:t xml:space="preserve">1 </w:t>
      </w:r>
      <w:r w:rsidR="00AF5AB4" w:rsidRPr="004436F9">
        <w:rPr>
          <w:lang w:val="et-EE"/>
        </w:rPr>
        <w:t>on põhimõtteliselt välistatud keskkonnaloa andmise võimalus alati, kui tuvastatakse Natura elupaigatüüp. Sellisest juhis</w:t>
      </w:r>
      <w:r w:rsidR="004A7135">
        <w:rPr>
          <w:lang w:val="et-EE"/>
        </w:rPr>
        <w:t>est</w:t>
      </w:r>
      <w:r w:rsidR="00AF5AB4" w:rsidRPr="004436F9">
        <w:rPr>
          <w:lang w:val="et-EE"/>
        </w:rPr>
        <w:t xml:space="preserve"> lähtumine toob kaalutlusvea. </w:t>
      </w:r>
      <w:r w:rsidR="00AF5AB4" w:rsidRPr="00BC203B">
        <w:rPr>
          <w:b/>
          <w:lang w:val="et-EE"/>
        </w:rPr>
        <w:t>Euroopa Liidu õigus ning LKS ei kohusta rakendama iga individuaalse elupaigatüübi kaitseks rangeid meetmeid.</w:t>
      </w:r>
      <w:r w:rsidR="00AF5AB4" w:rsidRPr="004436F9">
        <w:rPr>
          <w:lang w:val="et-EE"/>
        </w:rPr>
        <w:t xml:space="preserve"> Seda </w:t>
      </w:r>
      <w:r w:rsidR="000A4D34">
        <w:rPr>
          <w:lang w:val="et-EE"/>
        </w:rPr>
        <w:t xml:space="preserve">on kinnitanud </w:t>
      </w:r>
      <w:r w:rsidR="00F2323B">
        <w:rPr>
          <w:lang w:val="et-EE"/>
        </w:rPr>
        <w:t xml:space="preserve">KeA </w:t>
      </w:r>
      <w:r w:rsidR="000A4D34">
        <w:rPr>
          <w:lang w:val="et-EE"/>
        </w:rPr>
        <w:t xml:space="preserve">kui ka kõik kohtuastmed Elbu </w:t>
      </w:r>
      <w:r w:rsidR="00F2323B">
        <w:rPr>
          <w:lang w:val="et-EE"/>
        </w:rPr>
        <w:t>lahendis</w:t>
      </w:r>
      <w:r w:rsidR="000A4D34">
        <w:rPr>
          <w:lang w:val="et-EE"/>
        </w:rPr>
        <w:t xml:space="preserve">. </w:t>
      </w:r>
      <w:r w:rsidR="00B56E79">
        <w:rPr>
          <w:lang w:val="et-EE"/>
        </w:rPr>
        <w:t>Riigikohus ütles selgelt otsus p-s 34: „</w:t>
      </w:r>
      <w:r w:rsidR="00B56E79" w:rsidRPr="00B56E79">
        <w:rPr>
          <w:lang w:val="et-EE"/>
        </w:rPr>
        <w:t xml:space="preserve">Kolleegium </w:t>
      </w:r>
      <w:r w:rsidR="00B56E79" w:rsidRPr="00652470">
        <w:rPr>
          <w:b/>
          <w:bCs/>
          <w:lang w:val="et-EE"/>
        </w:rPr>
        <w:t>ei nõustu</w:t>
      </w:r>
      <w:r w:rsidR="00B56E79" w:rsidRPr="00B56E79">
        <w:rPr>
          <w:lang w:val="et-EE"/>
        </w:rPr>
        <w:t xml:space="preserve"> kaebajaga, et kaevandamise tagajärjel tekkivat elupaigatüübi kadu tuleb vältimatult käsitada olulise keskkonnahäiringuna. Oluliseks häiringuks tunnistamine sõltub sellest, kui suur on elupaigatüübi kao mõju elupaigatüübi üleriigilisele seisundile.</w:t>
      </w:r>
      <w:r w:rsidR="00B56E79">
        <w:rPr>
          <w:lang w:val="et-EE"/>
        </w:rPr>
        <w:t>“</w:t>
      </w:r>
      <w:r w:rsidR="00371EAF">
        <w:rPr>
          <w:lang w:val="et-EE"/>
        </w:rPr>
        <w:t xml:space="preserve"> Järelikult</w:t>
      </w:r>
      <w:r w:rsidR="002D702C">
        <w:rPr>
          <w:lang w:val="et-EE"/>
        </w:rPr>
        <w:t xml:space="preserve"> käsitleb Juhend ebaõigest elupaigatüübi olemasolu </w:t>
      </w:r>
      <w:r w:rsidR="00652470">
        <w:rPr>
          <w:lang w:val="et-EE"/>
        </w:rPr>
        <w:t xml:space="preserve">mäeeraldisel või selle teenindusmaal automaatse keeldumise aluse ehk keskkonnaohuna. </w:t>
      </w:r>
    </w:p>
    <w:p w14:paraId="4AE0D445" w14:textId="77777777" w:rsidR="00A5585B" w:rsidRDefault="00A5585B" w:rsidP="00F50C86">
      <w:pPr>
        <w:pStyle w:val="NCNumbering"/>
        <w:rPr>
          <w:lang w:val="et-EE"/>
        </w:rPr>
      </w:pPr>
      <w:r>
        <w:rPr>
          <w:lang w:val="et-EE"/>
        </w:rPr>
        <w:t>I kaitsekategooria liikide puhul teame, et</w:t>
      </w:r>
      <w:r w:rsidR="006F07B6">
        <w:rPr>
          <w:lang w:val="et-EE"/>
        </w:rPr>
        <w:t xml:space="preserve"> üldreeglina kõikide liikide elupaigad või kasvukohad võetakse kaitse alla</w:t>
      </w:r>
      <w:r w:rsidR="00960754">
        <w:rPr>
          <w:lang w:val="et-EE"/>
        </w:rPr>
        <w:t xml:space="preserve">. Samas LKS § 14 lg 3 kohaselt on siiski kaalutlusõiguse alusel lubatud tegevused KeA nõusolekul, kui tegevus ei kahjusta kaitstava loodusobjekti kaitse </w:t>
      </w:r>
      <w:r w:rsidR="00960754">
        <w:rPr>
          <w:lang w:val="et-EE"/>
        </w:rPr>
        <w:lastRenderedPageBreak/>
        <w:t xml:space="preserve">eesmärgi saavutamist või kaitstava loodusobjekti seisundit. </w:t>
      </w:r>
      <w:r w:rsidR="00A5452A">
        <w:rPr>
          <w:lang w:val="et-EE"/>
        </w:rPr>
        <w:t xml:space="preserve">Seega isegi I kaitsekategooria liikide puhul eeldab </w:t>
      </w:r>
      <w:r w:rsidR="00C36923">
        <w:rPr>
          <w:lang w:val="et-EE"/>
        </w:rPr>
        <w:t xml:space="preserve">tegevus kavandatava tegevuse uurimist, hindamist ning kaalutlusotsuse tegemist. </w:t>
      </w:r>
    </w:p>
    <w:p w14:paraId="2E3C4A1D" w14:textId="77777777" w:rsidR="002E6E50" w:rsidRDefault="00371EAF" w:rsidP="00F50C86">
      <w:pPr>
        <w:pStyle w:val="NCNumbering"/>
        <w:rPr>
          <w:lang w:val="et-EE"/>
        </w:rPr>
      </w:pPr>
      <w:r w:rsidRPr="00FA1DAD">
        <w:rPr>
          <w:lang w:val="et-EE"/>
        </w:rPr>
        <w:t xml:space="preserve">Samuti on </w:t>
      </w:r>
      <w:r w:rsidR="00045F75" w:rsidRPr="00FA1DAD">
        <w:rPr>
          <w:lang w:val="et-EE"/>
        </w:rPr>
        <w:t xml:space="preserve">Juhendi </w:t>
      </w:r>
      <w:r w:rsidR="00364554">
        <w:rPr>
          <w:lang w:val="et-EE"/>
        </w:rPr>
        <w:t>joonisega</w:t>
      </w:r>
      <w:r w:rsidR="00045F75" w:rsidRPr="00FA1DAD">
        <w:rPr>
          <w:lang w:val="et-EE"/>
        </w:rPr>
        <w:t xml:space="preserve"> 1 võrdsustatud II ja III kaitsekategooria lii</w:t>
      </w:r>
      <w:r w:rsidR="00364554">
        <w:rPr>
          <w:lang w:val="et-EE"/>
        </w:rPr>
        <w:t>kide kaitsekohustus</w:t>
      </w:r>
      <w:r w:rsidR="00045F75" w:rsidRPr="00FA1DAD">
        <w:rPr>
          <w:lang w:val="et-EE"/>
        </w:rPr>
        <w:t>.</w:t>
      </w:r>
      <w:r w:rsidR="009C701B" w:rsidRPr="00FA1DAD">
        <w:rPr>
          <w:lang w:val="et-EE"/>
        </w:rPr>
        <w:t xml:space="preserve"> Viidatakse, et keelduv otsus tehakse, kui </w:t>
      </w:r>
      <w:r w:rsidR="00A1611F" w:rsidRPr="00FA1DAD">
        <w:rPr>
          <w:lang w:val="et-EE"/>
        </w:rPr>
        <w:t xml:space="preserve">üldhinnang </w:t>
      </w:r>
      <w:r w:rsidR="00FA1DAD" w:rsidRPr="00FA1DAD">
        <w:rPr>
          <w:lang w:val="et-EE"/>
        </w:rPr>
        <w:t xml:space="preserve">on </w:t>
      </w:r>
      <w:r w:rsidR="00A1611F" w:rsidRPr="00FA1DAD">
        <w:rPr>
          <w:lang w:val="et-EE"/>
        </w:rPr>
        <w:t>soodne või tõusev aga elupaik on esinduslik või selgelt märgatav paljunemis- või puhkekoht.</w:t>
      </w:r>
      <w:r w:rsidR="00196F2C">
        <w:rPr>
          <w:lang w:val="et-EE"/>
        </w:rPr>
        <w:t xml:space="preserve"> </w:t>
      </w:r>
      <w:r w:rsidR="00636A4D">
        <w:rPr>
          <w:lang w:val="et-EE"/>
        </w:rPr>
        <w:t>LKS § 51</w:t>
      </w:r>
      <w:r w:rsidR="00636A4D" w:rsidRPr="00636A4D">
        <w:rPr>
          <w:vertAlign w:val="superscript"/>
          <w:lang w:val="et-EE"/>
        </w:rPr>
        <w:t>2</w:t>
      </w:r>
      <w:r w:rsidR="00A1611F" w:rsidRPr="00FA1DAD">
        <w:rPr>
          <w:lang w:val="et-EE"/>
        </w:rPr>
        <w:t xml:space="preserve"> </w:t>
      </w:r>
      <w:r w:rsidR="00636A4D">
        <w:rPr>
          <w:lang w:val="et-EE"/>
        </w:rPr>
        <w:t xml:space="preserve">kohaselt on keelatud hävitada ja kahjustada loodusdirektiivi IV lisa punktis a </w:t>
      </w:r>
      <w:r w:rsidR="002E6E50">
        <w:rPr>
          <w:lang w:val="et-EE"/>
        </w:rPr>
        <w:t xml:space="preserve">selgelt märgatavaid paljunemis- või puhkekohti ning saame aru, et kõik II ja III kaitsekategooria liigid sellesse nimekirja ei kuulu. </w:t>
      </w:r>
    </w:p>
    <w:p w14:paraId="59F3F55A" w14:textId="77777777" w:rsidR="00FA1DAD" w:rsidRPr="002E6E50" w:rsidRDefault="00C04310" w:rsidP="002E6E50">
      <w:pPr>
        <w:pStyle w:val="NCNumbering"/>
        <w:rPr>
          <w:lang w:val="et-EE"/>
        </w:rPr>
      </w:pPr>
      <w:r w:rsidRPr="00FA1DAD">
        <w:rPr>
          <w:lang w:val="et-EE"/>
        </w:rPr>
        <w:t>Juhend peab</w:t>
      </w:r>
      <w:r w:rsidR="001B559C">
        <w:rPr>
          <w:lang w:val="et-EE"/>
        </w:rPr>
        <w:t xml:space="preserve"> lähtuma proportsionaalsuse põhimõttest eristades </w:t>
      </w:r>
      <w:r w:rsidRPr="00FA1DAD">
        <w:rPr>
          <w:lang w:val="et-EE"/>
        </w:rPr>
        <w:t>II ja III kaitsekategooria</w:t>
      </w:r>
      <w:r w:rsidR="002E6E50">
        <w:rPr>
          <w:lang w:val="et-EE"/>
        </w:rPr>
        <w:t xml:space="preserve"> liikide kaitsekohustust</w:t>
      </w:r>
      <w:r w:rsidRPr="002E6E50">
        <w:rPr>
          <w:lang w:val="et-EE"/>
        </w:rPr>
        <w:t xml:space="preserve"> ning lähtuma liikide soodsast seisundist, mitte </w:t>
      </w:r>
      <w:r w:rsidR="00FA1DAD" w:rsidRPr="002E6E50">
        <w:rPr>
          <w:lang w:val="et-EE"/>
        </w:rPr>
        <w:t xml:space="preserve">rangest </w:t>
      </w:r>
      <w:r w:rsidRPr="002E6E50">
        <w:rPr>
          <w:lang w:val="et-EE"/>
        </w:rPr>
        <w:t>isendikaitse põhimõttest</w:t>
      </w:r>
      <w:r w:rsidR="00472B97" w:rsidRPr="002E6E50">
        <w:rPr>
          <w:lang w:val="et-EE"/>
        </w:rPr>
        <w:t xml:space="preserve">. </w:t>
      </w:r>
    </w:p>
    <w:p w14:paraId="7F186E16" w14:textId="77777777" w:rsidR="001A7584" w:rsidRPr="00FA1DAD" w:rsidRDefault="001A7584" w:rsidP="00F50C86">
      <w:pPr>
        <w:pStyle w:val="NCNumbering"/>
        <w:rPr>
          <w:lang w:val="et-EE"/>
        </w:rPr>
      </w:pPr>
      <w:r w:rsidRPr="00FA1DAD">
        <w:rPr>
          <w:lang w:val="et-EE"/>
        </w:rPr>
        <w:t>LKS § 48 lg 2 kohaselt II kaitsekategooria liikide vähemalt 50</w:t>
      </w:r>
      <w:r w:rsidR="001B559C">
        <w:rPr>
          <w:lang w:val="et-EE"/>
        </w:rPr>
        <w:t xml:space="preserve"> %</w:t>
      </w:r>
      <w:r w:rsidRPr="00FA1DAD">
        <w:rPr>
          <w:lang w:val="et-EE"/>
        </w:rPr>
        <w:t xml:space="preserve"> teadaolevate ja Eesti looduse infosüsteemis registreeritud elupaikade või kasvukohtade kaitse tagatakse kaitsealade või hoiualade moodustamise või püsielupaikade kindlaksmääramisega lähtuvalt alade esinduslikkusest. Järelikult liikide ja nende soodne seisund on tagatud, kui vähemalt 50 % elupaikadest ja kasvukohtadest on kaitstud.</w:t>
      </w:r>
      <w:r w:rsidR="00813FA2">
        <w:rPr>
          <w:lang w:val="et-EE"/>
        </w:rPr>
        <w:t xml:space="preserve"> </w:t>
      </w:r>
    </w:p>
    <w:p w14:paraId="67442D83" w14:textId="77777777" w:rsidR="001A7584" w:rsidRDefault="001A7584" w:rsidP="001A7584">
      <w:pPr>
        <w:pStyle w:val="NCNumbering"/>
        <w:rPr>
          <w:lang w:val="et-EE"/>
        </w:rPr>
      </w:pPr>
      <w:r w:rsidRPr="00C04310">
        <w:rPr>
          <w:lang w:val="et"/>
        </w:rPr>
        <w:t xml:space="preserve">LKS § 48 lg 3 kohaselt tagatakse liikide soodne seisund siis, kui vähemalt 10 </w:t>
      </w:r>
      <w:r w:rsidR="001B559C">
        <w:rPr>
          <w:lang w:val="et"/>
        </w:rPr>
        <w:t xml:space="preserve">% </w:t>
      </w:r>
      <w:r w:rsidRPr="00C04310">
        <w:rPr>
          <w:lang w:val="et"/>
        </w:rPr>
        <w:t>teadaolevate ja Eesti looduse infosüsteemis registreeritud elupaikade või kasvukohtade kaitse tagatakse kaitsealade või hoiualade moodustamise või püsielupaikade kindlaksmääramisega lähtuvalt alade esinduslikkusest. Järelikult igal konkreetsel juhul saab soodsat seisundit eeldada, kui vähemalt 10% liigist asub juba kaitse aladel.</w:t>
      </w:r>
      <w:r w:rsidR="00C458F0">
        <w:rPr>
          <w:lang w:val="et"/>
        </w:rPr>
        <w:t xml:space="preserve"> </w:t>
      </w:r>
      <w:r w:rsidR="002D1F70">
        <w:rPr>
          <w:lang w:val="et"/>
        </w:rPr>
        <w:t>El</w:t>
      </w:r>
      <w:r w:rsidR="001B559C">
        <w:rPr>
          <w:lang w:val="et"/>
        </w:rPr>
        <w:t>bu</w:t>
      </w:r>
      <w:r w:rsidR="002D1F70">
        <w:rPr>
          <w:lang w:val="et"/>
        </w:rPr>
        <w:t xml:space="preserve"> lahendis selgita</w:t>
      </w:r>
      <w:r w:rsidR="001B559C">
        <w:rPr>
          <w:lang w:val="et"/>
        </w:rPr>
        <w:t>takse</w:t>
      </w:r>
      <w:r w:rsidR="002D1F70">
        <w:rPr>
          <w:lang w:val="et"/>
        </w:rPr>
        <w:t xml:space="preserve">, et </w:t>
      </w:r>
      <w:r w:rsidR="002D1F70" w:rsidRPr="002D1F70">
        <w:rPr>
          <w:lang w:val="et-EE"/>
        </w:rPr>
        <w:t xml:space="preserve"> LKS § 48 lg-ga 3 ette nähtud miinimummäär </w:t>
      </w:r>
      <w:r w:rsidR="002D1F70">
        <w:rPr>
          <w:lang w:val="et-EE"/>
        </w:rPr>
        <w:t xml:space="preserve">on </w:t>
      </w:r>
      <w:r w:rsidR="002D1F70" w:rsidRPr="002D1F70">
        <w:rPr>
          <w:lang w:val="et-EE"/>
        </w:rPr>
        <w:t>põhjendatav eelkõige proportsionaalsusega. Seetõttu ei ole vaja ette näha kohustust võtta elupaiku kaitse alla suuremas ulatuses kui 10% registreeritud elupaikadest. </w:t>
      </w:r>
      <w:r w:rsidR="002D1F70">
        <w:rPr>
          <w:lang w:val="et-EE"/>
        </w:rPr>
        <w:t>V</w:t>
      </w:r>
      <w:r w:rsidR="00C458F0" w:rsidRPr="00C458F0">
        <w:rPr>
          <w:lang w:val="et-EE"/>
        </w:rPr>
        <w:t>äljaspool kaitstavaid alasid paiknevate III kaitsekategooria liikide elupaikade hävimisel võib olla oluline mõju nende liikide soodsa seisundi tagamisele eelkõige kumulatiivselt</w:t>
      </w:r>
      <w:r w:rsidR="00C458F0">
        <w:rPr>
          <w:lang w:val="et-EE"/>
        </w:rPr>
        <w:t xml:space="preserve"> (otsus, p 30)</w:t>
      </w:r>
      <w:r w:rsidR="00C458F0" w:rsidRPr="00C458F0">
        <w:rPr>
          <w:lang w:val="et-EE"/>
        </w:rPr>
        <w:t>.</w:t>
      </w:r>
      <w:r w:rsidR="00E44BB4">
        <w:rPr>
          <w:lang w:val="et-EE"/>
        </w:rPr>
        <w:t xml:space="preserve"> </w:t>
      </w:r>
    </w:p>
    <w:p w14:paraId="3D92ED9B" w14:textId="77777777" w:rsidR="00EA0E9E" w:rsidRDefault="00E12743" w:rsidP="001A7584">
      <w:pPr>
        <w:pStyle w:val="NCNumbering"/>
        <w:rPr>
          <w:lang w:val="et-EE"/>
        </w:rPr>
      </w:pPr>
      <w:r>
        <w:rPr>
          <w:lang w:val="et-EE"/>
        </w:rPr>
        <w:t>Samuti tuleb</w:t>
      </w:r>
      <w:r w:rsidR="00CF3242">
        <w:rPr>
          <w:lang w:val="et-EE"/>
        </w:rPr>
        <w:t xml:space="preserve"> Juhendis jooniseid täiendada selliselt, et on võimalik uurida ja kaaluda </w:t>
      </w:r>
      <w:r>
        <w:rPr>
          <w:lang w:val="et-EE"/>
        </w:rPr>
        <w:t xml:space="preserve">leevendavaid meetmeid. </w:t>
      </w:r>
      <w:r w:rsidRPr="003D3CE1">
        <w:rPr>
          <w:lang w:val="et-EE"/>
        </w:rPr>
        <w:t>LKS § 58 lg 5</w:t>
      </w:r>
      <w:r w:rsidR="00EA0E9E">
        <w:rPr>
          <w:lang w:val="et-EE"/>
        </w:rPr>
        <w:t xml:space="preserve"> </w:t>
      </w:r>
      <w:r w:rsidRPr="003D3CE1">
        <w:rPr>
          <w:lang w:val="et-EE"/>
        </w:rPr>
        <w:t xml:space="preserve">lubab kaitsealuse liigi isendit ümber asustada juhul, kui see ei kahjusta liigi soodsat seisundit. Vabariigi Valitsuse määrusega nr 248 kehtestatud kaitsealuse liigi ümberasustamise korra kohaselt </w:t>
      </w:r>
      <w:r>
        <w:rPr>
          <w:lang w:val="et-EE"/>
        </w:rPr>
        <w:t xml:space="preserve">ei tohi ümber asustada üksnes </w:t>
      </w:r>
      <w:r w:rsidRPr="003D3CE1">
        <w:rPr>
          <w:lang w:val="et-EE"/>
        </w:rPr>
        <w:t>liigi isendit, mille kaitseks on moodustatud püsielupaik (§ 5 lg 2)</w:t>
      </w:r>
      <w:r>
        <w:rPr>
          <w:lang w:val="et-EE"/>
        </w:rPr>
        <w:t>. Riigikohus on asjas 3-20-1329 p-s 72 lubanud ümberasustamise võimalus</w:t>
      </w:r>
      <w:r w:rsidR="00F86B26">
        <w:rPr>
          <w:lang w:val="et-EE"/>
        </w:rPr>
        <w:t xml:space="preserve">ega arvestada </w:t>
      </w:r>
      <w:r>
        <w:rPr>
          <w:lang w:val="et-EE"/>
        </w:rPr>
        <w:t xml:space="preserve">II kaitsekategooria liigi puhul. </w:t>
      </w:r>
      <w:r w:rsidR="00EA0E9E">
        <w:rPr>
          <w:lang w:val="et-EE"/>
        </w:rPr>
        <w:t xml:space="preserve">Tegemist on järelikult KeÜS </w:t>
      </w:r>
      <w:r w:rsidR="00EA0E9E" w:rsidRPr="00651836">
        <w:rPr>
          <w:lang w:val="et-EE"/>
        </w:rPr>
        <w:t>§ 52 lg 1 p 6</w:t>
      </w:r>
      <w:r w:rsidR="00EA0E9E">
        <w:rPr>
          <w:lang w:val="et-EE"/>
        </w:rPr>
        <w:t xml:space="preserve"> tähenduses leevendava meetmega, mida igal konkreetsel juhul tuleb arvestada kaalutlusotsuse tegemisel. Juhendi</w:t>
      </w:r>
      <w:r w:rsidR="00E0231D">
        <w:rPr>
          <w:lang w:val="et-EE"/>
        </w:rPr>
        <w:t>ga ei anta leevendavate meetmete analüüsimise suunist vaid see suunab tegema automaatselt keelduvat otsust.</w:t>
      </w:r>
    </w:p>
    <w:p w14:paraId="48B2262E" w14:textId="77777777" w:rsidR="00D946A8" w:rsidRPr="00C04310" w:rsidRDefault="00D946A8" w:rsidP="001A7584">
      <w:pPr>
        <w:pStyle w:val="NCNumbering"/>
        <w:rPr>
          <w:lang w:val="et-EE"/>
        </w:rPr>
      </w:pPr>
      <w:r>
        <w:rPr>
          <w:lang w:val="et-EE"/>
        </w:rPr>
        <w:t xml:space="preserve">Eelnevat kokkuvõttes </w:t>
      </w:r>
      <w:r w:rsidR="00F86B26">
        <w:rPr>
          <w:lang w:val="et-EE"/>
        </w:rPr>
        <w:t>tekitab Juhend keeldumise alused, mida kehtiv õigus ja kohtupraktika ei nõua. E</w:t>
      </w:r>
      <w:r>
        <w:rPr>
          <w:lang w:val="et-EE"/>
        </w:rPr>
        <w:t>lupaigatüübi või liigi tuvastamine ei tähenda automaatset keskkonnaohtu</w:t>
      </w:r>
      <w:r w:rsidR="00DA36CC">
        <w:rPr>
          <w:lang w:val="et-EE"/>
        </w:rPr>
        <w:t xml:space="preserve"> vaid kohustust uurida ning hinnata mõjusid.</w:t>
      </w:r>
      <w:r w:rsidR="00412B89">
        <w:rPr>
          <w:lang w:val="et-EE"/>
        </w:rPr>
        <w:t xml:space="preserve"> P</w:t>
      </w:r>
      <w:r w:rsidR="00412B89" w:rsidRPr="00485B78">
        <w:rPr>
          <w:rFonts w:ascii="TimesNewRomanPSMT" w:hAnsi="TimesNewRomanPSMT"/>
          <w:color w:val="000000"/>
          <w:kern w:val="0"/>
          <w:u w:val="single"/>
          <w:lang w:val="et-EE"/>
        </w:rPr>
        <w:t xml:space="preserve">alume täiendada </w:t>
      </w:r>
      <w:r w:rsidR="00F86B26">
        <w:rPr>
          <w:rFonts w:ascii="TimesNewRomanPSMT" w:hAnsi="TimesNewRomanPSMT"/>
          <w:color w:val="000000"/>
          <w:kern w:val="0"/>
          <w:u w:val="single"/>
          <w:lang w:val="et-EE"/>
        </w:rPr>
        <w:t>jooniseid</w:t>
      </w:r>
      <w:r w:rsidR="00412B89" w:rsidRPr="00485B78">
        <w:rPr>
          <w:rFonts w:ascii="TimesNewRomanPSMT" w:hAnsi="TimesNewRomanPSMT"/>
          <w:color w:val="000000"/>
          <w:kern w:val="0"/>
          <w:u w:val="single"/>
          <w:lang w:val="et-EE"/>
        </w:rPr>
        <w:t xml:space="preserve"> selliselt, et</w:t>
      </w:r>
      <w:r w:rsidR="00412B89">
        <w:rPr>
          <w:rFonts w:ascii="TimesNewRomanPSMT" w:hAnsi="TimesNewRomanPSMT"/>
          <w:color w:val="000000"/>
          <w:kern w:val="0"/>
          <w:u w:val="single"/>
          <w:lang w:val="et-EE"/>
        </w:rPr>
        <w:t xml:space="preserve"> </w:t>
      </w:r>
      <w:r w:rsidR="00E7615F">
        <w:rPr>
          <w:rFonts w:ascii="TimesNewRomanPSMT" w:hAnsi="TimesNewRomanPSMT"/>
          <w:color w:val="000000"/>
          <w:kern w:val="0"/>
          <w:u w:val="single"/>
          <w:lang w:val="et-EE"/>
        </w:rPr>
        <w:t xml:space="preserve">Juhend viitaks kõigi kaitsealuste liikide puhul </w:t>
      </w:r>
      <w:r w:rsidR="00761147">
        <w:rPr>
          <w:rFonts w:ascii="TimesNewRomanPSMT" w:hAnsi="TimesNewRomanPSMT"/>
          <w:color w:val="000000"/>
          <w:kern w:val="0"/>
          <w:u w:val="single"/>
          <w:lang w:val="et-EE"/>
        </w:rPr>
        <w:t xml:space="preserve">uurimise kohustusele. </w:t>
      </w:r>
      <w:r w:rsidR="00757CA1">
        <w:rPr>
          <w:rFonts w:ascii="TimesNewRomanPSMT" w:hAnsi="TimesNewRomanPSMT"/>
          <w:color w:val="000000"/>
          <w:kern w:val="0"/>
          <w:u w:val="single"/>
          <w:lang w:val="et-EE"/>
        </w:rPr>
        <w:t xml:space="preserve">Sealjuures </w:t>
      </w:r>
      <w:r w:rsidR="00412B89">
        <w:rPr>
          <w:rFonts w:ascii="TimesNewRomanPSMT" w:hAnsi="TimesNewRomanPSMT"/>
          <w:color w:val="000000"/>
          <w:kern w:val="0"/>
          <w:u w:val="single"/>
          <w:lang w:val="et-EE"/>
        </w:rPr>
        <w:t xml:space="preserve">II ja III kaitsekategooria liikide ja elupaigatüüpide puhul peab arvestama ning hindama liigi soodsat seisundit levikualal </w:t>
      </w:r>
      <w:r w:rsidR="00412B89" w:rsidRPr="00485B78">
        <w:rPr>
          <w:rFonts w:ascii="TimesNewRomanPSMT" w:hAnsi="TimesNewRomanPSMT"/>
          <w:color w:val="000000"/>
          <w:kern w:val="0"/>
          <w:u w:val="single"/>
          <w:lang w:val="et-EE"/>
        </w:rPr>
        <w:t>KMH menetluses</w:t>
      </w:r>
      <w:r w:rsidR="00F036B6">
        <w:rPr>
          <w:rFonts w:ascii="TimesNewRomanPSMT" w:hAnsi="TimesNewRomanPSMT"/>
          <w:color w:val="000000"/>
          <w:kern w:val="0"/>
          <w:u w:val="single"/>
          <w:lang w:val="et-EE"/>
        </w:rPr>
        <w:t xml:space="preserve"> (kui see on vajalik)</w:t>
      </w:r>
      <w:r w:rsidR="00412B89">
        <w:rPr>
          <w:rFonts w:ascii="TimesNewRomanPSMT" w:hAnsi="TimesNewRomanPSMT"/>
          <w:color w:val="000000"/>
          <w:kern w:val="0"/>
          <w:u w:val="single"/>
          <w:lang w:val="et-EE"/>
        </w:rPr>
        <w:t>.</w:t>
      </w:r>
      <w:r w:rsidR="0020329D">
        <w:rPr>
          <w:rFonts w:ascii="TimesNewRomanPSMT" w:hAnsi="TimesNewRomanPSMT"/>
          <w:color w:val="000000"/>
          <w:kern w:val="0"/>
          <w:u w:val="single"/>
          <w:lang w:val="et-EE"/>
        </w:rPr>
        <w:t xml:space="preserve"> </w:t>
      </w:r>
      <w:r w:rsidR="00D05205">
        <w:rPr>
          <w:rFonts w:ascii="TimesNewRomanPSMT" w:hAnsi="TimesNewRomanPSMT"/>
          <w:color w:val="000000"/>
          <w:kern w:val="0"/>
          <w:u w:val="single"/>
          <w:lang w:val="et-EE"/>
        </w:rPr>
        <w:t xml:space="preserve">Samuti tuleb </w:t>
      </w:r>
      <w:r w:rsidR="00697574">
        <w:rPr>
          <w:rFonts w:ascii="TimesNewRomanPSMT" w:hAnsi="TimesNewRomanPSMT"/>
          <w:color w:val="000000"/>
          <w:kern w:val="0"/>
          <w:u w:val="single"/>
          <w:lang w:val="et-EE"/>
        </w:rPr>
        <w:t>Juhendis</w:t>
      </w:r>
      <w:r w:rsidR="00D05205">
        <w:rPr>
          <w:rFonts w:ascii="TimesNewRomanPSMT" w:hAnsi="TimesNewRomanPSMT"/>
          <w:color w:val="000000"/>
          <w:kern w:val="0"/>
          <w:u w:val="single"/>
          <w:lang w:val="et-EE"/>
        </w:rPr>
        <w:t xml:space="preserve"> arvestada leevendavate </w:t>
      </w:r>
      <w:r w:rsidR="001A604E">
        <w:rPr>
          <w:rFonts w:ascii="TimesNewRomanPSMT" w:hAnsi="TimesNewRomanPSMT"/>
          <w:color w:val="000000"/>
          <w:kern w:val="0"/>
          <w:u w:val="single"/>
          <w:lang w:val="et-EE"/>
        </w:rPr>
        <w:t xml:space="preserve">meetmete tuvastamise vajadusega. </w:t>
      </w:r>
    </w:p>
    <w:p w14:paraId="756F8880" w14:textId="77777777" w:rsidR="00BE0611" w:rsidRPr="00AB3F59" w:rsidRDefault="0012192E" w:rsidP="00AB3F59">
      <w:pPr>
        <w:pStyle w:val="1stlevelheading"/>
      </w:pPr>
      <w:r>
        <w:t>Puhveralad</w:t>
      </w:r>
      <w:r w:rsidR="00C928E2">
        <w:t xml:space="preserve"> ei tugine asjakohasel materjalil </w:t>
      </w:r>
    </w:p>
    <w:p w14:paraId="52D495E1" w14:textId="77777777" w:rsidR="002E4A25" w:rsidRDefault="0083496A" w:rsidP="00F41857">
      <w:pPr>
        <w:pStyle w:val="NCNumbering"/>
        <w:rPr>
          <w:lang w:val="et-EE"/>
        </w:rPr>
      </w:pPr>
      <w:r>
        <w:rPr>
          <w:lang w:val="et-EE"/>
        </w:rPr>
        <w:t>Juhendi ptk</w:t>
      </w:r>
      <w:r w:rsidR="00C928E2">
        <w:rPr>
          <w:lang w:val="et-EE"/>
        </w:rPr>
        <w:t>-s</w:t>
      </w:r>
      <w:r>
        <w:rPr>
          <w:lang w:val="et-EE"/>
        </w:rPr>
        <w:t xml:space="preserve"> 3.2. on tekitatud </w:t>
      </w:r>
      <w:r w:rsidR="00C928E2">
        <w:rPr>
          <w:lang w:val="et-EE"/>
        </w:rPr>
        <w:t>keeldumise võimalus</w:t>
      </w:r>
      <w:r>
        <w:rPr>
          <w:lang w:val="et-EE"/>
        </w:rPr>
        <w:t xml:space="preserve"> ka olukorras, kus loodusväärtus asub väljaspool </w:t>
      </w:r>
      <w:r w:rsidR="002A263C">
        <w:rPr>
          <w:lang w:val="et-EE"/>
        </w:rPr>
        <w:t>mäeeraldis</w:t>
      </w:r>
      <w:r w:rsidR="002E4A25">
        <w:rPr>
          <w:lang w:val="et-EE"/>
        </w:rPr>
        <w:t xml:space="preserve">e ja selle teenindusmaa </w:t>
      </w:r>
      <w:r w:rsidR="002A263C">
        <w:rPr>
          <w:lang w:val="et-EE"/>
        </w:rPr>
        <w:t>puhverala</w:t>
      </w:r>
      <w:r w:rsidR="002E4A25">
        <w:rPr>
          <w:lang w:val="et-EE"/>
        </w:rPr>
        <w:t>s</w:t>
      </w:r>
      <w:r w:rsidR="002A263C">
        <w:rPr>
          <w:lang w:val="et-EE"/>
        </w:rPr>
        <w:t>.</w:t>
      </w:r>
      <w:r w:rsidR="00943972">
        <w:rPr>
          <w:lang w:val="et-EE"/>
        </w:rPr>
        <w:t xml:space="preserve"> </w:t>
      </w:r>
      <w:r w:rsidR="00943972" w:rsidRPr="00520502">
        <w:rPr>
          <w:lang w:val="et-EE"/>
        </w:rPr>
        <w:t>KeHJS § 3</w:t>
      </w:r>
      <w:r w:rsidR="00943972" w:rsidRPr="005A4FEF">
        <w:rPr>
          <w:vertAlign w:val="superscript"/>
          <w:lang w:val="et-EE"/>
        </w:rPr>
        <w:t>1</w:t>
      </w:r>
      <w:r w:rsidR="00943972" w:rsidRPr="00520502">
        <w:rPr>
          <w:lang w:val="et-EE"/>
        </w:rPr>
        <w:t xml:space="preserve"> lg 2 järgi tuleb keskkonnamõju hindamisel tuvastada kavandatava tegevuse otsene ja kaudne oluline mõju </w:t>
      </w:r>
      <w:r w:rsidR="00943972" w:rsidRPr="00520502">
        <w:rPr>
          <w:lang w:val="et-EE"/>
        </w:rPr>
        <w:lastRenderedPageBreak/>
        <w:t>k</w:t>
      </w:r>
      <w:r w:rsidR="00943972">
        <w:rPr>
          <w:lang w:val="et-EE"/>
        </w:rPr>
        <w:t>eskkonnaelementidele</w:t>
      </w:r>
      <w:r w:rsidR="00943972" w:rsidRPr="00520502">
        <w:rPr>
          <w:lang w:val="et-EE"/>
        </w:rPr>
        <w:t>, seda kirjeldada ja hinnata.</w:t>
      </w:r>
      <w:r w:rsidR="00943972">
        <w:rPr>
          <w:lang w:val="et-EE"/>
        </w:rPr>
        <w:t xml:space="preserve"> Seega nõuab õigusakt, et hinnataks kaudset </w:t>
      </w:r>
      <w:r w:rsidR="00943972" w:rsidRPr="005A4FEF">
        <w:rPr>
          <w:u w:val="single"/>
          <w:lang w:val="et-EE"/>
        </w:rPr>
        <w:t>olulist</w:t>
      </w:r>
      <w:r w:rsidR="00943972" w:rsidRPr="00943972">
        <w:rPr>
          <w:lang w:val="et-EE"/>
        </w:rPr>
        <w:t xml:space="preserve"> </w:t>
      </w:r>
      <w:r w:rsidR="00943972">
        <w:rPr>
          <w:lang w:val="et-EE"/>
        </w:rPr>
        <w:t xml:space="preserve">mõju. Nimetatud mõju ei ole tingimata seotud puhveralaga ning tuleb igakordselt tuvastada hindamise käigus. Puhveralal ei ole </w:t>
      </w:r>
      <w:r w:rsidR="008F51F4">
        <w:rPr>
          <w:lang w:val="et-EE"/>
        </w:rPr>
        <w:t xml:space="preserve">seega  </w:t>
      </w:r>
      <w:r w:rsidR="00943972">
        <w:rPr>
          <w:lang w:val="et-EE"/>
        </w:rPr>
        <w:t xml:space="preserve">õiguslikku tähendust, erinevalt nt seadusega kehtestatud kaitsevööndist. </w:t>
      </w:r>
    </w:p>
    <w:p w14:paraId="4086AA7C" w14:textId="77777777" w:rsidR="008F51F4" w:rsidRPr="008F51F4" w:rsidRDefault="008F51F4" w:rsidP="005C2E07">
      <w:pPr>
        <w:pStyle w:val="NCNumbering"/>
        <w:rPr>
          <w:lang w:val="et-EE"/>
        </w:rPr>
      </w:pPr>
      <w:r w:rsidRPr="008F51F4">
        <w:rPr>
          <w:lang w:val="et-EE"/>
        </w:rPr>
        <w:t>Puhverala arvestamise nõue peab nähtuma õiguslikku tähendust omavast dokumendist. Käesoleval juhul ei ole selliseid üle-eestilisi dokumente kehtestatud. Arusaamatuks jääb Juhendi lk 2 kirjeldatud Tsoon 2 – kaudse mõju sidumine mäeeraldise puhveralal asuvate väärtustega. Peatüki kohaselt ei sõltu hinnang mõjule, sh puhverala suurusele näiteks KMH aruandest</w:t>
      </w:r>
      <w:r w:rsidR="03ED5AFC" w:rsidRPr="3FEB8997">
        <w:rPr>
          <w:lang w:val="et-EE"/>
        </w:rPr>
        <w:t>,</w:t>
      </w:r>
      <w:r w:rsidRPr="008F51F4">
        <w:rPr>
          <w:lang w:val="et-EE"/>
        </w:rPr>
        <w:t xml:space="preserve"> vaid see on nö automaatne- turbal 500 m</w:t>
      </w:r>
      <w:r w:rsidRPr="008F51F4">
        <w:rPr>
          <w:vertAlign w:val="superscript"/>
          <w:lang w:val="et-EE"/>
        </w:rPr>
        <w:t xml:space="preserve">2 </w:t>
      </w:r>
      <w:r w:rsidRPr="008F51F4">
        <w:rPr>
          <w:lang w:val="et-EE"/>
        </w:rPr>
        <w:t>mäeeraldisest ja selle teenindusmaa välispiirist.</w:t>
      </w:r>
      <w:r w:rsidRPr="008F51F4">
        <w:rPr>
          <w:vertAlign w:val="superscript"/>
          <w:lang w:val="et-EE"/>
        </w:rPr>
        <w:t xml:space="preserve"> </w:t>
      </w:r>
      <w:r w:rsidRPr="008F51F4">
        <w:rPr>
          <w:lang w:val="et-EE"/>
        </w:rPr>
        <w:t>Juhendis viidatud Harjumaa maavarade teemaplaneeringut ei saa laiendada kogu Eestile. Seda saab kehtestatud kujul arvestada üksnes Harjumaal. Hetkel on teemaplaneering alles menetluses, seega pole kohustust sellest juhinduda isegi Harjumaal.</w:t>
      </w:r>
    </w:p>
    <w:p w14:paraId="09473769" w14:textId="77777777" w:rsidR="008B1ACE" w:rsidRDefault="005C022F" w:rsidP="005C2E07">
      <w:pPr>
        <w:pStyle w:val="NCNumbering"/>
        <w:rPr>
          <w:lang w:val="et-EE"/>
        </w:rPr>
      </w:pPr>
      <w:r w:rsidRPr="00D12C59">
        <w:rPr>
          <w:lang w:val="et-EE"/>
        </w:rPr>
        <w:t xml:space="preserve">Lisaks on ptk 3.2.1.1 toodud loetelu liikidest ja elupaigatüüpidest, kelle puhul analüüsitakse väärtuse olemasolu laiemas puhvris. </w:t>
      </w:r>
      <w:r w:rsidR="00C72C3C" w:rsidRPr="00D12C59">
        <w:rPr>
          <w:lang w:val="et-EE"/>
        </w:rPr>
        <w:t>Analüüsid, mis tuginevad maismaa tuuleparkidele</w:t>
      </w:r>
      <w:r w:rsidR="006A0F51" w:rsidRPr="00D12C59">
        <w:rPr>
          <w:lang w:val="et-EE"/>
        </w:rPr>
        <w:t xml:space="preserve">, sh nende planeerimisele ei ole asjakohased. Kaevandamise mõjud linnustikule ei </w:t>
      </w:r>
      <w:r w:rsidR="005F3673" w:rsidRPr="00D12C59">
        <w:rPr>
          <w:lang w:val="et-EE"/>
        </w:rPr>
        <w:t xml:space="preserve">ole </w:t>
      </w:r>
      <w:r w:rsidR="6BD247D2" w:rsidRPr="00D12C59">
        <w:rPr>
          <w:lang w:val="et-EE"/>
        </w:rPr>
        <w:t>võrdsustat</w:t>
      </w:r>
      <w:r w:rsidR="00240FC5">
        <w:rPr>
          <w:lang w:val="et-EE"/>
        </w:rPr>
        <w:t>av</w:t>
      </w:r>
      <w:r w:rsidR="006A0F51" w:rsidRPr="00D12C59">
        <w:rPr>
          <w:lang w:val="et-EE"/>
        </w:rPr>
        <w:t xml:space="preserve"> tuuleparkide kavandamise</w:t>
      </w:r>
      <w:r w:rsidR="00240FC5">
        <w:rPr>
          <w:lang w:val="et-EE"/>
        </w:rPr>
        <w:t xml:space="preserve"> mõjuga</w:t>
      </w:r>
      <w:r w:rsidR="008C1069">
        <w:rPr>
          <w:lang w:val="et-EE"/>
        </w:rPr>
        <w:t xml:space="preserve">- </w:t>
      </w:r>
      <w:r w:rsidR="00EB4FB3" w:rsidRPr="00D12C59">
        <w:rPr>
          <w:lang w:val="et-EE"/>
        </w:rPr>
        <w:t>puudub kokkupõrkeoht, kaevandused ei tekita takistusi linnuteel</w:t>
      </w:r>
      <w:r w:rsidR="00675BCD" w:rsidRPr="00D12C59">
        <w:rPr>
          <w:lang w:val="et-EE"/>
        </w:rPr>
        <w:t xml:space="preserve">. </w:t>
      </w:r>
      <w:r w:rsidR="008C1069">
        <w:rPr>
          <w:lang w:val="et-EE"/>
        </w:rPr>
        <w:t>Seda arvestades on ka n</w:t>
      </w:r>
      <w:r w:rsidR="00D12C59" w:rsidRPr="00D12C59">
        <w:rPr>
          <w:lang w:val="et-EE"/>
        </w:rPr>
        <w:t xml:space="preserve">äiteks </w:t>
      </w:r>
      <w:r w:rsidR="00A9221A" w:rsidRPr="00D12C59">
        <w:rPr>
          <w:lang w:val="et-EE"/>
        </w:rPr>
        <w:t>10 km</w:t>
      </w:r>
      <w:r w:rsidR="008C1069">
        <w:rPr>
          <w:lang w:val="et-EE"/>
        </w:rPr>
        <w:t xml:space="preserve"> laiuse</w:t>
      </w:r>
      <w:r w:rsidR="00A9221A" w:rsidRPr="00D12C59">
        <w:rPr>
          <w:lang w:val="et-EE"/>
        </w:rPr>
        <w:t xml:space="preserve"> puhverala tekitamine </w:t>
      </w:r>
      <w:r w:rsidR="00D12C59" w:rsidRPr="00D12C59">
        <w:rPr>
          <w:lang w:val="et-EE"/>
        </w:rPr>
        <w:t xml:space="preserve">kaevandustele </w:t>
      </w:r>
      <w:r w:rsidR="00A9221A" w:rsidRPr="00D12C59">
        <w:rPr>
          <w:lang w:val="et-EE"/>
        </w:rPr>
        <w:t>musta toonekure kaitseks meelevaldne</w:t>
      </w:r>
      <w:r w:rsidR="00783574">
        <w:rPr>
          <w:lang w:val="et-EE"/>
        </w:rPr>
        <w:t xml:space="preserve"> ning tekitab lihtsalt tarbetu töökoormuse </w:t>
      </w:r>
      <w:r w:rsidR="008B1ACE">
        <w:rPr>
          <w:lang w:val="et-EE"/>
        </w:rPr>
        <w:t xml:space="preserve">ametnikule. </w:t>
      </w:r>
      <w:r w:rsidR="009867F1" w:rsidRPr="00D12C59">
        <w:rPr>
          <w:lang w:val="et-EE"/>
        </w:rPr>
        <w:t xml:space="preserve">Ka Paal &amp; Leibak töö „Eesti soode seisund ja kaitstus“ sisaldab üksnes soovitusi puhvertsoonide rajamiseks. </w:t>
      </w:r>
    </w:p>
    <w:p w14:paraId="0C255AE4" w14:textId="77777777" w:rsidR="00F41857" w:rsidRPr="00DB274B" w:rsidRDefault="008B1ACE" w:rsidP="00DB274B">
      <w:pPr>
        <w:pStyle w:val="NCNumbering"/>
        <w:rPr>
          <w:lang w:val="et-EE"/>
        </w:rPr>
      </w:pPr>
      <w:r>
        <w:rPr>
          <w:lang w:val="et-EE"/>
        </w:rPr>
        <w:t>Eelnevat kokkuvõttes i</w:t>
      </w:r>
      <w:r w:rsidR="00D12C59" w:rsidRPr="00D12C59">
        <w:rPr>
          <w:lang w:val="et-EE"/>
        </w:rPr>
        <w:t xml:space="preserve">ga mäeeraldise ümber ei saa Juhendi alusel tekitada puhverala, sest ei ole teada, kas konkreetsel juhtumil ja tegevusega olulised mõjud üldse kaasnevad. </w:t>
      </w:r>
      <w:r w:rsidR="00DB274B">
        <w:rPr>
          <w:lang w:val="et-EE"/>
        </w:rPr>
        <w:t>P</w:t>
      </w:r>
      <w:r w:rsidR="005D6062" w:rsidRPr="00DB274B">
        <w:rPr>
          <w:lang w:val="et-EE"/>
        </w:rPr>
        <w:t>uhveralas</w:t>
      </w:r>
      <w:r w:rsidR="00FD65F3" w:rsidRPr="00DB274B">
        <w:rPr>
          <w:lang w:val="et-EE"/>
        </w:rPr>
        <w:t xml:space="preserve">id </w:t>
      </w:r>
      <w:r w:rsidR="00DB274B">
        <w:rPr>
          <w:lang w:val="et-EE"/>
        </w:rPr>
        <w:t xml:space="preserve">on </w:t>
      </w:r>
      <w:r w:rsidR="00FD65F3" w:rsidRPr="00DB274B">
        <w:rPr>
          <w:lang w:val="et-EE"/>
        </w:rPr>
        <w:t xml:space="preserve">soovituslikena käsitletud erinevates uuringutes, kuid </w:t>
      </w:r>
      <w:r w:rsidR="00DB274B">
        <w:rPr>
          <w:lang w:val="et-EE"/>
        </w:rPr>
        <w:t>Juhendi</w:t>
      </w:r>
      <w:r w:rsidR="00FD65F3" w:rsidRPr="00DB274B">
        <w:rPr>
          <w:lang w:val="et-EE"/>
        </w:rPr>
        <w:t xml:space="preserve"> koostamise alusmaterjalina ei ole</w:t>
      </w:r>
      <w:r w:rsidR="00DB274B">
        <w:rPr>
          <w:lang w:val="et-EE"/>
        </w:rPr>
        <w:t xml:space="preserve"> need üldreeglina asjakohased</w:t>
      </w:r>
      <w:r w:rsidR="00300C60">
        <w:rPr>
          <w:lang w:val="et-EE"/>
        </w:rPr>
        <w:t xml:space="preserve">. </w:t>
      </w:r>
      <w:r w:rsidR="000B24BF" w:rsidRPr="00DB274B">
        <w:rPr>
          <w:lang w:val="et-EE"/>
        </w:rPr>
        <w:t>Pole selge, kas puhverala on eesmärgipärane, sobiv, vajalik ja mõõdukas meede spetsiifilises asukohas. Puhveralast tekkivad õigusmõjud võivad riivata alas olevate maaomanike õiguseid, mistõttu soovitame puhverala</w:t>
      </w:r>
      <w:r w:rsidR="001177BA" w:rsidRPr="00DB274B">
        <w:rPr>
          <w:lang w:val="et-EE"/>
        </w:rPr>
        <w:t>d</w:t>
      </w:r>
      <w:r w:rsidR="000B24BF" w:rsidRPr="00DB274B">
        <w:rPr>
          <w:lang w:val="et-EE"/>
        </w:rPr>
        <w:t xml:space="preserve"> Juhendist välja jätta ning kirjeldada kaudset olulist mõju </w:t>
      </w:r>
      <w:r w:rsidR="00300C60">
        <w:rPr>
          <w:lang w:val="et-EE"/>
        </w:rPr>
        <w:t xml:space="preserve">näiteks </w:t>
      </w:r>
      <w:r w:rsidR="000B24BF" w:rsidRPr="00DB274B">
        <w:rPr>
          <w:lang w:val="et-EE"/>
        </w:rPr>
        <w:t>kohtupraktika kaudu</w:t>
      </w:r>
      <w:r w:rsidR="000B24BF" w:rsidRPr="00300C60">
        <w:rPr>
          <w:lang w:val="et-EE"/>
        </w:rPr>
        <w:t>.</w:t>
      </w:r>
      <w:r w:rsidR="005F6838" w:rsidRPr="00300C60">
        <w:rPr>
          <w:lang w:val="et-EE"/>
        </w:rPr>
        <w:t xml:space="preserve"> </w:t>
      </w:r>
      <w:r w:rsidR="001177BA" w:rsidRPr="00DB274B">
        <w:rPr>
          <w:u w:val="single"/>
          <w:lang w:val="et-EE"/>
        </w:rPr>
        <w:t xml:space="preserve">Juhendis saab tuua välja, et </w:t>
      </w:r>
      <w:r w:rsidR="00941BC7">
        <w:rPr>
          <w:u w:val="single"/>
          <w:lang w:val="et-EE"/>
        </w:rPr>
        <w:t>kavandatava tegevuse mõju selle lähiümbruses (</w:t>
      </w:r>
      <w:r w:rsidR="005F6838" w:rsidRPr="00DB274B">
        <w:rPr>
          <w:u w:val="single"/>
          <w:lang w:val="et-EE"/>
        </w:rPr>
        <w:t>puhveralade</w:t>
      </w:r>
      <w:r w:rsidR="00941BC7">
        <w:rPr>
          <w:u w:val="single"/>
          <w:lang w:val="et-EE"/>
        </w:rPr>
        <w:t xml:space="preserve">l) </w:t>
      </w:r>
      <w:r w:rsidR="005F6838" w:rsidRPr="00DB274B">
        <w:rPr>
          <w:u w:val="single"/>
          <w:lang w:val="et-EE"/>
        </w:rPr>
        <w:t>peab analüüsima juhtumipõhiselt, st arvestades kehtivaid planeeringuid ja muid avalik-õiguslikke piiranguid.</w:t>
      </w:r>
    </w:p>
    <w:p w14:paraId="101C8298" w14:textId="77777777" w:rsidR="000C7442" w:rsidRPr="00513FED" w:rsidRDefault="000C7442" w:rsidP="000C7442">
      <w:pPr>
        <w:pStyle w:val="1stlevelheading"/>
      </w:pPr>
      <w:r>
        <w:t>Üleriigiliste seireAndmete puudumist ei saa tõlgendada taotleja kahjuks</w:t>
      </w:r>
    </w:p>
    <w:p w14:paraId="30CAC9AD" w14:textId="77777777" w:rsidR="00AB3F59" w:rsidRPr="007C2129" w:rsidRDefault="007C2129" w:rsidP="006300E5">
      <w:pPr>
        <w:pStyle w:val="NCNumbering"/>
        <w:rPr>
          <w:lang w:val="et-EE"/>
        </w:rPr>
      </w:pPr>
      <w:r w:rsidRPr="007C2129">
        <w:rPr>
          <w:lang w:val="et-EE"/>
        </w:rPr>
        <w:t xml:space="preserve">Juhendi </w:t>
      </w:r>
      <w:r w:rsidR="003202C3">
        <w:rPr>
          <w:lang w:val="et-EE"/>
        </w:rPr>
        <w:t xml:space="preserve">jooniselt 1 </w:t>
      </w:r>
      <w:r w:rsidRPr="007C2129">
        <w:rPr>
          <w:lang w:val="et-EE"/>
        </w:rPr>
        <w:t>nähtub, et loa andmisest tuleb</w:t>
      </w:r>
      <w:r w:rsidR="003B6C7D">
        <w:rPr>
          <w:lang w:val="et-EE"/>
        </w:rPr>
        <w:t xml:space="preserve"> </w:t>
      </w:r>
      <w:r w:rsidRPr="007C2129">
        <w:rPr>
          <w:lang w:val="et-EE"/>
        </w:rPr>
        <w:t xml:space="preserve">keelduda, kui liikide seisund </w:t>
      </w:r>
      <w:r>
        <w:rPr>
          <w:lang w:val="et-EE"/>
        </w:rPr>
        <w:t xml:space="preserve">Eestis </w:t>
      </w:r>
      <w:r w:rsidRPr="007C2129">
        <w:rPr>
          <w:lang w:val="et-EE"/>
        </w:rPr>
        <w:t>on teadmata</w:t>
      </w:r>
      <w:r>
        <w:rPr>
          <w:lang w:val="et-EE"/>
        </w:rPr>
        <w:t xml:space="preserve">. </w:t>
      </w:r>
      <w:r w:rsidR="0083774C">
        <w:rPr>
          <w:lang w:val="et-EE"/>
        </w:rPr>
        <w:t xml:space="preserve">Meie hinnangul </w:t>
      </w:r>
      <w:r w:rsidR="00A65161">
        <w:rPr>
          <w:lang w:val="et-EE"/>
        </w:rPr>
        <w:t xml:space="preserve">tuleks riiklike andmete puudumist tõlgendada </w:t>
      </w:r>
      <w:r w:rsidR="0083774C">
        <w:rPr>
          <w:lang w:val="et-EE"/>
        </w:rPr>
        <w:t xml:space="preserve">taotleja kasuks. </w:t>
      </w:r>
      <w:r w:rsidR="00BF2981">
        <w:rPr>
          <w:lang w:val="et-EE"/>
        </w:rPr>
        <w:t>Loodusdirektiivi tähenduses on liikide ja elupaikade soodsa seisundi tagamise kohustus</w:t>
      </w:r>
      <w:r w:rsidR="003B6C7D">
        <w:rPr>
          <w:lang w:val="et-EE"/>
        </w:rPr>
        <w:t xml:space="preserve"> ning vastava info kogumine</w:t>
      </w:r>
      <w:r w:rsidR="00BF2981">
        <w:rPr>
          <w:lang w:val="et-EE"/>
        </w:rPr>
        <w:t xml:space="preserve"> liikmesriikidel. Kui info puudub, siis tuleks eeldada, et tegemist ei ole </w:t>
      </w:r>
      <w:r w:rsidR="00D01A2D">
        <w:rPr>
          <w:lang w:val="et-EE"/>
        </w:rPr>
        <w:t xml:space="preserve">olulise liigi/alaga. </w:t>
      </w:r>
      <w:r w:rsidR="003B6C7D">
        <w:rPr>
          <w:lang w:val="et-EE"/>
        </w:rPr>
        <w:t xml:space="preserve">Eelkõige tuleks andmete puudumist tõlgendada taotleja kasuks II ja III kaitsekategooria liikide puhul, kui on selge asjaolu, et LKS § 48 lg 2 ja 3 </w:t>
      </w:r>
      <w:r w:rsidR="00387D09">
        <w:rPr>
          <w:lang w:val="et-EE"/>
        </w:rPr>
        <w:t>sood</w:t>
      </w:r>
      <w:r w:rsidR="00406DFC">
        <w:rPr>
          <w:lang w:val="et-EE"/>
        </w:rPr>
        <w:t xml:space="preserve">sa seisundi kaitstuse määr </w:t>
      </w:r>
      <w:r w:rsidR="00387D09">
        <w:rPr>
          <w:lang w:val="et-EE"/>
        </w:rPr>
        <w:t xml:space="preserve">on tagatud </w:t>
      </w:r>
      <w:r w:rsidR="00387D09" w:rsidRPr="00C04310">
        <w:rPr>
          <w:lang w:val="et"/>
        </w:rPr>
        <w:t>Eesti looduse infosüsteemis registreeritud elupaikade või kasvukohtade kaitse</w:t>
      </w:r>
      <w:r w:rsidR="00387D09">
        <w:rPr>
          <w:lang w:val="et"/>
        </w:rPr>
        <w:t xml:space="preserve">ga. </w:t>
      </w:r>
    </w:p>
    <w:p w14:paraId="6EA7BE1F" w14:textId="77777777" w:rsidR="009873D6" w:rsidRDefault="00CF05FC" w:rsidP="00CF05FC">
      <w:pPr>
        <w:pStyle w:val="1stlevelheading"/>
      </w:pPr>
      <w:r>
        <w:t>Muud tähelepanekud</w:t>
      </w:r>
      <w:r w:rsidR="007B21EB">
        <w:t xml:space="preserve"> ja küsimused</w:t>
      </w:r>
    </w:p>
    <w:p w14:paraId="3435A805" w14:textId="77777777" w:rsidR="0039267E" w:rsidRDefault="00387D09" w:rsidP="00CF05FC">
      <w:pPr>
        <w:pStyle w:val="SLONormal"/>
        <w:rPr>
          <w:lang w:val="et-EE"/>
        </w:rPr>
      </w:pPr>
      <w:r>
        <w:rPr>
          <w:lang w:val="et-EE"/>
        </w:rPr>
        <w:t xml:space="preserve">Käesolevas peatükis toome välja muud </w:t>
      </w:r>
      <w:r w:rsidR="38247CD8" w:rsidRPr="3FEB8997">
        <w:rPr>
          <w:lang w:val="et-EE"/>
        </w:rPr>
        <w:t>tähelepan</w:t>
      </w:r>
      <w:r w:rsidR="4DA29083" w:rsidRPr="3FEB8997">
        <w:rPr>
          <w:lang w:val="et-EE"/>
        </w:rPr>
        <w:t>ek</w:t>
      </w:r>
      <w:r w:rsidR="38247CD8" w:rsidRPr="3FEB8997">
        <w:rPr>
          <w:lang w:val="et-EE"/>
        </w:rPr>
        <w:t>ud</w:t>
      </w:r>
      <w:r>
        <w:rPr>
          <w:lang w:val="et-EE"/>
        </w:rPr>
        <w:t>, mida palume täpsustada</w:t>
      </w:r>
      <w:r w:rsidR="0039267E">
        <w:rPr>
          <w:lang w:val="et-EE"/>
        </w:rPr>
        <w:t>:</w:t>
      </w:r>
    </w:p>
    <w:p w14:paraId="097B8BEE" w14:textId="77777777" w:rsidR="0039267E" w:rsidRDefault="0039267E" w:rsidP="00B61D41">
      <w:pPr>
        <w:pStyle w:val="SLONormal"/>
        <w:numPr>
          <w:ilvl w:val="0"/>
          <w:numId w:val="25"/>
        </w:numPr>
        <w:rPr>
          <w:lang w:val="et-EE"/>
        </w:rPr>
      </w:pPr>
      <w:r>
        <w:rPr>
          <w:lang w:val="et-EE"/>
        </w:rPr>
        <w:t>P</w:t>
      </w:r>
      <w:r w:rsidR="00CF05FC" w:rsidRPr="004A1DB1">
        <w:rPr>
          <w:lang w:val="et-EE"/>
        </w:rPr>
        <w:t>alume täpsustada esinduslike elupaikade juures II ja III kaitsekategooria liikide märgatavate paljunemis- ja puhkekohtade määramise ja hindamise metoodikat</w:t>
      </w:r>
      <w:r w:rsidR="00E5311D">
        <w:rPr>
          <w:lang w:val="et-EE"/>
        </w:rPr>
        <w:t xml:space="preserve">. Samuti </w:t>
      </w:r>
      <w:r w:rsidR="00CF05FC" w:rsidRPr="004A1DB1">
        <w:rPr>
          <w:lang w:val="et-EE"/>
        </w:rPr>
        <w:t xml:space="preserve"> soovime tutvuda avalike andmete või kaardirakendusega</w:t>
      </w:r>
      <w:r w:rsidR="00E5311D">
        <w:rPr>
          <w:lang w:val="et-EE"/>
        </w:rPr>
        <w:t xml:space="preserve">, kus on </w:t>
      </w:r>
      <w:r w:rsidR="00574FAC">
        <w:rPr>
          <w:lang w:val="et-EE"/>
        </w:rPr>
        <w:t xml:space="preserve">paljunemis- ja puhkekohad </w:t>
      </w:r>
      <w:r w:rsidR="00574FAC">
        <w:rPr>
          <w:lang w:val="et-EE"/>
        </w:rPr>
        <w:lastRenderedPageBreak/>
        <w:t>käsitletud</w:t>
      </w:r>
      <w:r w:rsidR="00CF05FC" w:rsidRPr="004A1DB1">
        <w:rPr>
          <w:lang w:val="et-EE"/>
        </w:rPr>
        <w:t xml:space="preserve">. </w:t>
      </w:r>
      <w:r w:rsidR="008F523B" w:rsidRPr="002C05C5">
        <w:rPr>
          <w:lang w:val="et-EE"/>
        </w:rPr>
        <w:t xml:space="preserve">Piirangutega seotud info peab olema kättesaadav juba keskkonnaloa taotluse koostamise faasis.  </w:t>
      </w:r>
      <w:r w:rsidR="00574FAC">
        <w:rPr>
          <w:lang w:val="et-EE"/>
        </w:rPr>
        <w:t xml:space="preserve">See on oluline info kaevandusalade planeerimise faasis, sh võimaldab vältida nii loa taotlemisega seotud kulu </w:t>
      </w:r>
      <w:r w:rsidR="008F523B">
        <w:rPr>
          <w:lang w:val="et-EE"/>
        </w:rPr>
        <w:t xml:space="preserve">ning sellega seoses vähendada ka halduskoormust. </w:t>
      </w:r>
    </w:p>
    <w:p w14:paraId="63B3E135" w14:textId="77777777" w:rsidR="00493D80" w:rsidRDefault="0039267E" w:rsidP="00B61D41">
      <w:pPr>
        <w:pStyle w:val="SLONormal"/>
        <w:numPr>
          <w:ilvl w:val="0"/>
          <w:numId w:val="25"/>
        </w:numPr>
        <w:rPr>
          <w:lang w:val="et-EE"/>
        </w:rPr>
      </w:pPr>
      <w:r>
        <w:rPr>
          <w:lang w:val="et-EE"/>
        </w:rPr>
        <w:t>J</w:t>
      </w:r>
      <w:r w:rsidR="00CF05FC" w:rsidRPr="002C05C5">
        <w:rPr>
          <w:lang w:val="et-EE"/>
        </w:rPr>
        <w:t xml:space="preserve">uhendis </w:t>
      </w:r>
      <w:r>
        <w:rPr>
          <w:lang w:val="et-EE"/>
        </w:rPr>
        <w:t xml:space="preserve">on </w:t>
      </w:r>
      <w:r w:rsidR="00CF05FC" w:rsidRPr="002C05C5">
        <w:rPr>
          <w:lang w:val="et-EE"/>
        </w:rPr>
        <w:t xml:space="preserve">eksitavalt toodud, et tuleb arvestada direktiivi 92/43/EMÜ lisa IV liikidega, kui </w:t>
      </w:r>
      <w:r w:rsidR="00245621">
        <w:rPr>
          <w:lang w:val="et-EE"/>
        </w:rPr>
        <w:t xml:space="preserve">LKS </w:t>
      </w:r>
      <w:r w:rsidR="00CF05FC" w:rsidRPr="002C05C5">
        <w:rPr>
          <w:lang w:val="et-EE"/>
        </w:rPr>
        <w:t>§ 51</w:t>
      </w:r>
      <w:r w:rsidR="00CF05FC" w:rsidRPr="002C05C5">
        <w:rPr>
          <w:vertAlign w:val="superscript"/>
          <w:lang w:val="et-EE"/>
        </w:rPr>
        <w:t xml:space="preserve">2 </w:t>
      </w:r>
      <w:r w:rsidR="00CF05FC" w:rsidRPr="002C05C5">
        <w:rPr>
          <w:lang w:val="et-EE"/>
        </w:rPr>
        <w:t xml:space="preserve">viitab sama direktiivi lisa IV punktile a, mis on oluliselt kitsam, kui kogu LISA IV. </w:t>
      </w:r>
      <w:r w:rsidR="00245621">
        <w:rPr>
          <w:lang w:val="et-EE"/>
        </w:rPr>
        <w:t>Palume ebatäpsuse parandada</w:t>
      </w:r>
      <w:r w:rsidR="00E77978">
        <w:rPr>
          <w:lang w:val="et-EE"/>
        </w:rPr>
        <w:t>.</w:t>
      </w:r>
    </w:p>
    <w:p w14:paraId="06D38D7E" w14:textId="77777777" w:rsidR="00493D80" w:rsidRPr="00493D80" w:rsidRDefault="006300E5" w:rsidP="00B61D41">
      <w:pPr>
        <w:pStyle w:val="SLONormal"/>
        <w:numPr>
          <w:ilvl w:val="0"/>
          <w:numId w:val="25"/>
        </w:numPr>
        <w:rPr>
          <w:lang w:val="et-EE"/>
        </w:rPr>
      </w:pPr>
      <w:r w:rsidRPr="00493D80">
        <w:rPr>
          <w:lang w:val="et"/>
        </w:rPr>
        <w:t xml:space="preserve">Juhendist näib, et üksnes kaevandustelt nõutakse rangelt liigikaitsest </w:t>
      </w:r>
      <w:r w:rsidRPr="5B535861">
        <w:rPr>
          <w:lang w:val="et"/>
        </w:rPr>
        <w:t>juhindumist.</w:t>
      </w:r>
      <w:r w:rsidRPr="00493D80">
        <w:rPr>
          <w:lang w:val="et"/>
        </w:rPr>
        <w:t xml:space="preserve"> Meie hinnangul ei </w:t>
      </w:r>
      <w:r w:rsidR="009E2416" w:rsidRPr="5B535861">
        <w:rPr>
          <w:lang w:val="et"/>
        </w:rPr>
        <w:t xml:space="preserve">ole </w:t>
      </w:r>
      <w:r w:rsidRPr="00493D80">
        <w:rPr>
          <w:lang w:val="et"/>
        </w:rPr>
        <w:t>senises praktikas kohaldatud sedavõrd rangeid nõudeid. Kui tegemist on siiski KeA valdava praktikaga, siis palume tuua näiteid, kus KeA on väljaspool kaitsealasid keeldunud keskkonnaloa või ka näiteks ehitusloa andmisest olukorras, kus tegemist on III kaitsekategooria liigi elupaiga või kasvukohaga.</w:t>
      </w:r>
      <w:r w:rsidRPr="00493D80">
        <w:rPr>
          <w:b/>
          <w:bCs/>
          <w:lang w:val="et"/>
        </w:rPr>
        <w:t xml:space="preserve"> </w:t>
      </w:r>
    </w:p>
    <w:p w14:paraId="7CE7C913" w14:textId="77777777" w:rsidR="009873D6" w:rsidRPr="00BC203B" w:rsidRDefault="009873D6" w:rsidP="00B61D41">
      <w:pPr>
        <w:pStyle w:val="SLONormal"/>
        <w:numPr>
          <w:ilvl w:val="0"/>
          <w:numId w:val="25"/>
        </w:numPr>
        <w:rPr>
          <w:lang w:val="et-EE"/>
        </w:rPr>
      </w:pPr>
      <w:r w:rsidRPr="00493D80">
        <w:rPr>
          <w:lang w:val="et"/>
        </w:rPr>
        <w:t>Juhendi leheküljel 5 on viidatud, et häiringutest sõltuva ja tehismaastikke asustavate liikide puhul on vaja koostada nimekiri ja teha seda ajurünnakuga. Kuna tegu on väga selgelt loa andmise aluseks oleva punktiga, siis</w:t>
      </w:r>
      <w:r w:rsidR="002B4FF6">
        <w:rPr>
          <w:lang w:val="et"/>
        </w:rPr>
        <w:t xml:space="preserve"> palume lisaks Keskkonnaameti spetsialistidele kaasata ka </w:t>
      </w:r>
      <w:r w:rsidR="009A76EE">
        <w:rPr>
          <w:lang w:val="et"/>
        </w:rPr>
        <w:t>asutuse väliseid liigieksperte. Kui nimekiri koostatakse, siis palume selle avalikustada.</w:t>
      </w:r>
    </w:p>
    <w:p w14:paraId="577C5B08" w14:textId="77777777" w:rsidR="0053417C" w:rsidRDefault="00C47DB6" w:rsidP="0053417C">
      <w:pPr>
        <w:pStyle w:val="SLONormal"/>
        <w:numPr>
          <w:ilvl w:val="0"/>
          <w:numId w:val="25"/>
        </w:numPr>
        <w:rPr>
          <w:lang w:val="et"/>
        </w:rPr>
      </w:pPr>
      <w:r w:rsidRPr="004525E3">
        <w:rPr>
          <w:lang w:val="et"/>
        </w:rPr>
        <w:t xml:space="preserve">Palume kinnitada, et </w:t>
      </w:r>
      <w:r w:rsidR="004525E3">
        <w:rPr>
          <w:lang w:val="et"/>
        </w:rPr>
        <w:t>Juhendi</w:t>
      </w:r>
      <w:r w:rsidR="00932AC6">
        <w:rPr>
          <w:lang w:val="et"/>
        </w:rPr>
        <w:t xml:space="preserve"> kasutamine ei välista KMH menetluste tulemustega arvestamist</w:t>
      </w:r>
      <w:r w:rsidR="00806C03">
        <w:rPr>
          <w:lang w:val="et"/>
        </w:rPr>
        <w:t xml:space="preserve"> </w:t>
      </w:r>
      <w:r w:rsidRPr="00BC203B">
        <w:rPr>
          <w:lang w:val="et"/>
        </w:rPr>
        <w:t xml:space="preserve">ning </w:t>
      </w:r>
      <w:r w:rsidR="00806C03" w:rsidRPr="00BC203B">
        <w:rPr>
          <w:lang w:val="et"/>
        </w:rPr>
        <w:t xml:space="preserve">edaspidi arvestatakse ka </w:t>
      </w:r>
      <w:r w:rsidRPr="00BC203B">
        <w:rPr>
          <w:lang w:val="et"/>
        </w:rPr>
        <w:t>haldusvälis</w:t>
      </w:r>
      <w:r w:rsidR="00806C03" w:rsidRPr="00BC203B">
        <w:rPr>
          <w:lang w:val="et"/>
        </w:rPr>
        <w:t>te ekspertide sisendit.</w:t>
      </w:r>
    </w:p>
    <w:p w14:paraId="73E032BD" w14:textId="1BA657A0" w:rsidR="00120FF7" w:rsidRPr="0053417C" w:rsidRDefault="00120FF7" w:rsidP="0053417C">
      <w:pPr>
        <w:pStyle w:val="SLONormal"/>
        <w:numPr>
          <w:ilvl w:val="0"/>
          <w:numId w:val="25"/>
        </w:numPr>
        <w:rPr>
          <w:lang w:val="et"/>
        </w:rPr>
      </w:pPr>
      <w:r w:rsidRPr="0053417C">
        <w:rPr>
          <w:lang w:val="et-EE"/>
        </w:rPr>
        <w:t xml:space="preserve">Juhend viitab erinevatele linnu- ja loodusdirektiivi aruannetele ning liigi hinnangutele, mis on kaalutlusotsuse tegemise alus. Juhendis toodud lingid ei ole aga avalikult kättesaadavad. Koos Juhendiga on vajalik KeA poolt vastava info süstematiseerimine ja avalikustamine, mille alusel on kõigil protsessiosalistel võimalik infot kontrollida. </w:t>
      </w:r>
    </w:p>
    <w:p w14:paraId="7B0784BA" w14:textId="77777777" w:rsidR="00120FF7" w:rsidRPr="00493D80" w:rsidRDefault="00120FF7" w:rsidP="00120FF7">
      <w:pPr>
        <w:pStyle w:val="SLONormal"/>
        <w:ind w:left="720"/>
        <w:rPr>
          <w:lang w:val="et-EE"/>
        </w:rPr>
      </w:pPr>
    </w:p>
    <w:p w14:paraId="6A7BCE60" w14:textId="77777777" w:rsidR="00F74008" w:rsidRDefault="00F74008" w:rsidP="00F74008">
      <w:pPr>
        <w:pStyle w:val="SLONormal"/>
        <w:rPr>
          <w:lang w:val="et-EE"/>
        </w:rPr>
      </w:pPr>
      <w:r>
        <w:rPr>
          <w:lang w:val="et-EE"/>
        </w:rPr>
        <w:t>Lugupidamisega</w:t>
      </w:r>
    </w:p>
    <w:p w14:paraId="4F326A40" w14:textId="77777777" w:rsidR="00CF11DE" w:rsidRDefault="00CF11DE" w:rsidP="00F74008">
      <w:pPr>
        <w:pStyle w:val="SLONormal"/>
        <w:rPr>
          <w:lang w:val="et-EE"/>
        </w:rPr>
      </w:pPr>
    </w:p>
    <w:p w14:paraId="2AA92DFD" w14:textId="77777777" w:rsidR="00F74008" w:rsidRDefault="00F74008" w:rsidP="00F74008">
      <w:pPr>
        <w:pStyle w:val="SLONormal"/>
        <w:rPr>
          <w:lang w:val="et-EE"/>
        </w:rPr>
      </w:pPr>
      <w:r>
        <w:rPr>
          <w:lang w:val="et-EE"/>
        </w:rPr>
        <w:t>Jüri Tiidermann</w:t>
      </w:r>
    </w:p>
    <w:p w14:paraId="23FD7F89" w14:textId="4ADC9ADB" w:rsidR="00CF11DE" w:rsidRDefault="00F74008" w:rsidP="00CF11DE">
      <w:pPr>
        <w:pStyle w:val="SLONormal"/>
        <w:rPr>
          <w:lang w:val="et-EE"/>
        </w:rPr>
      </w:pPr>
      <w:r>
        <w:rPr>
          <w:lang w:val="et-EE"/>
        </w:rPr>
        <w:t>MTÜ Turbaliit</w:t>
      </w:r>
      <w:r w:rsidR="00CF11DE">
        <w:rPr>
          <w:lang w:val="et-EE"/>
        </w:rPr>
        <w:t>, j</w:t>
      </w:r>
      <w:r w:rsidR="00CF11DE">
        <w:rPr>
          <w:lang w:val="et-EE"/>
        </w:rPr>
        <w:t>uhatuse esimees</w:t>
      </w:r>
    </w:p>
    <w:p w14:paraId="37561914" w14:textId="4F128236" w:rsidR="00F74008" w:rsidRPr="00992548" w:rsidRDefault="00F74008" w:rsidP="00F74008">
      <w:pPr>
        <w:pStyle w:val="SLONormal"/>
        <w:rPr>
          <w:lang w:val="et-EE"/>
        </w:rPr>
      </w:pPr>
    </w:p>
    <w:p w14:paraId="7D0CE9C1" w14:textId="77777777" w:rsidR="009873D6" w:rsidRPr="00F74008" w:rsidRDefault="009873D6" w:rsidP="00AB3F59">
      <w:pPr>
        <w:pStyle w:val="SLONormal"/>
        <w:rPr>
          <w:lang w:val="et-EE"/>
        </w:rPr>
      </w:pPr>
    </w:p>
    <w:sectPr w:rsidR="009873D6" w:rsidRPr="00F740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1383E" w14:textId="77777777" w:rsidR="004A1F23" w:rsidRDefault="004A1F23" w:rsidP="00324647">
      <w:pPr>
        <w:spacing w:after="0" w:line="240" w:lineRule="auto"/>
      </w:pPr>
      <w:r>
        <w:separator/>
      </w:r>
    </w:p>
  </w:endnote>
  <w:endnote w:type="continuationSeparator" w:id="0">
    <w:p w14:paraId="710D520E" w14:textId="77777777" w:rsidR="004A1F23" w:rsidRDefault="004A1F23" w:rsidP="00324647">
      <w:pPr>
        <w:spacing w:after="0" w:line="240" w:lineRule="auto"/>
      </w:pPr>
      <w:r>
        <w:continuationSeparator/>
      </w:r>
    </w:p>
  </w:endnote>
  <w:endnote w:type="continuationNotice" w:id="1">
    <w:p w14:paraId="70C5BF1C" w14:textId="77777777" w:rsidR="004A1F23" w:rsidRDefault="004A1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181CE" w14:textId="77777777" w:rsidR="004A1F23" w:rsidRDefault="004A1F23" w:rsidP="00324647">
      <w:pPr>
        <w:spacing w:after="0" w:line="240" w:lineRule="auto"/>
      </w:pPr>
      <w:r>
        <w:separator/>
      </w:r>
    </w:p>
  </w:footnote>
  <w:footnote w:type="continuationSeparator" w:id="0">
    <w:p w14:paraId="075D0C11" w14:textId="77777777" w:rsidR="004A1F23" w:rsidRDefault="004A1F23" w:rsidP="00324647">
      <w:pPr>
        <w:spacing w:after="0" w:line="240" w:lineRule="auto"/>
      </w:pPr>
      <w:r>
        <w:continuationSeparator/>
      </w:r>
    </w:p>
  </w:footnote>
  <w:footnote w:type="continuationNotice" w:id="1">
    <w:p w14:paraId="234CEC50" w14:textId="77777777" w:rsidR="004A1F23" w:rsidRDefault="004A1F23">
      <w:pPr>
        <w:spacing w:after="0" w:line="240" w:lineRule="auto"/>
      </w:pPr>
    </w:p>
  </w:footnote>
  <w:footnote w:id="2">
    <w:p w14:paraId="3F39ACD8" w14:textId="77777777" w:rsidR="00DE495F" w:rsidRPr="00693AFD" w:rsidRDefault="00DE495F" w:rsidP="00DE495F">
      <w:pPr>
        <w:pStyle w:val="FootnoteText"/>
        <w:rPr>
          <w:lang w:val="fi-FI"/>
        </w:rPr>
      </w:pPr>
      <w:r>
        <w:rPr>
          <w:rStyle w:val="FootnoteReference"/>
        </w:rPr>
        <w:footnoteRef/>
      </w:r>
      <w:r w:rsidRPr="00693AFD">
        <w:rPr>
          <w:rStyle w:val="ui-provider"/>
          <w:rFonts w:eastAsia="Arial Unicode MS" w:cs="Arial Unicode MS"/>
          <w:lang w:val="fi-FI"/>
        </w:rPr>
        <w:t xml:space="preserve"> RKHKo 20.03.2014, 3-3-1-87-13, p 12.</w:t>
      </w:r>
    </w:p>
  </w:footnote>
  <w:footnote w:id="3">
    <w:p w14:paraId="22A8C11F" w14:textId="77777777" w:rsidR="00407C79" w:rsidRPr="00693AFD" w:rsidRDefault="00407C79">
      <w:pPr>
        <w:pStyle w:val="FootnoteText"/>
        <w:rPr>
          <w:lang w:val="fi-FI"/>
        </w:rPr>
      </w:pPr>
      <w:r>
        <w:rPr>
          <w:rStyle w:val="FootnoteReference"/>
        </w:rPr>
        <w:footnoteRef/>
      </w:r>
      <w:r w:rsidRPr="00693AFD">
        <w:rPr>
          <w:lang w:val="fi-FI"/>
        </w:rPr>
        <w:t xml:space="preserve"> </w:t>
      </w:r>
      <w:r>
        <w:rPr>
          <w:lang w:val="fi-FI"/>
        </w:rPr>
        <w:t xml:space="preserve">RKHKo </w:t>
      </w:r>
      <w:r w:rsidR="00E4670E">
        <w:rPr>
          <w:lang w:val="fi-FI"/>
        </w:rPr>
        <w:t>14.03.2024</w:t>
      </w:r>
      <w:r w:rsidR="00C534F3">
        <w:rPr>
          <w:lang w:val="fi-FI"/>
        </w:rPr>
        <w:t>, 3-20-1657, p 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F52264"/>
    <w:multiLevelType w:val="multilevel"/>
    <w:tmpl w:val="FC6E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D476F4D"/>
    <w:multiLevelType w:val="hybridMultilevel"/>
    <w:tmpl w:val="D76A9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5B84894"/>
    <w:multiLevelType w:val="multilevel"/>
    <w:tmpl w:val="54D0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76155F"/>
    <w:multiLevelType w:val="hybridMultilevel"/>
    <w:tmpl w:val="305EDA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6E1B16"/>
    <w:multiLevelType w:val="hybridMultilevel"/>
    <w:tmpl w:val="E46A5936"/>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1B25C44"/>
    <w:multiLevelType w:val="multilevel"/>
    <w:tmpl w:val="37CE5D50"/>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19A1EB0"/>
    <w:multiLevelType w:val="multilevel"/>
    <w:tmpl w:val="160C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735773">
    <w:abstractNumId w:val="12"/>
  </w:num>
  <w:num w:numId="2" w16cid:durableId="473570978">
    <w:abstractNumId w:val="3"/>
  </w:num>
  <w:num w:numId="3" w16cid:durableId="1798329405">
    <w:abstractNumId w:val="7"/>
  </w:num>
  <w:num w:numId="4" w16cid:durableId="18629119">
    <w:abstractNumId w:val="13"/>
  </w:num>
  <w:num w:numId="5" w16cid:durableId="302543960">
    <w:abstractNumId w:val="5"/>
  </w:num>
  <w:num w:numId="6" w16cid:durableId="889390353">
    <w:abstractNumId w:val="0"/>
  </w:num>
  <w:num w:numId="7" w16cid:durableId="1166549952">
    <w:abstractNumId w:val="1"/>
  </w:num>
  <w:num w:numId="8" w16cid:durableId="1067266186">
    <w:abstractNumId w:val="8"/>
  </w:num>
  <w:num w:numId="9" w16cid:durableId="1250655262">
    <w:abstractNumId w:val="8"/>
  </w:num>
  <w:num w:numId="10" w16cid:durableId="1440644232">
    <w:abstractNumId w:val="8"/>
  </w:num>
  <w:num w:numId="11" w16cid:durableId="1275747613">
    <w:abstractNumId w:val="8"/>
  </w:num>
  <w:num w:numId="12" w16cid:durableId="2023165997">
    <w:abstractNumId w:val="8"/>
  </w:num>
  <w:num w:numId="13" w16cid:durableId="1024136229">
    <w:abstractNumId w:val="8"/>
  </w:num>
  <w:num w:numId="14" w16cid:durableId="243033455">
    <w:abstractNumId w:val="10"/>
  </w:num>
  <w:num w:numId="15" w16cid:durableId="1821078034">
    <w:abstractNumId w:val="8"/>
  </w:num>
  <w:num w:numId="16" w16cid:durableId="2015186280">
    <w:abstractNumId w:val="10"/>
  </w:num>
  <w:num w:numId="17" w16cid:durableId="802307579">
    <w:abstractNumId w:val="5"/>
  </w:num>
  <w:num w:numId="18" w16cid:durableId="892616697">
    <w:abstractNumId w:val="14"/>
  </w:num>
  <w:num w:numId="19" w16cid:durableId="971835479">
    <w:abstractNumId w:val="2"/>
  </w:num>
  <w:num w:numId="20" w16cid:durableId="579367284">
    <w:abstractNumId w:val="6"/>
  </w:num>
  <w:num w:numId="21" w16cid:durableId="405228585">
    <w:abstractNumId w:val="5"/>
  </w:num>
  <w:num w:numId="22" w16cid:durableId="1519349014">
    <w:abstractNumId w:val="5"/>
  </w:num>
  <w:num w:numId="23" w16cid:durableId="1508714277">
    <w:abstractNumId w:val="4"/>
  </w:num>
  <w:num w:numId="24" w16cid:durableId="1667513562">
    <w:abstractNumId w:val="9"/>
  </w:num>
  <w:num w:numId="25" w16cid:durableId="1606115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SyMDAxMjMxsTQzNDZR0lEKTi0uzszPAykwrAUAfWBFpCwAAAA="/>
    <w:docVar w:name="DOCDRAFTER_VERSION" w:val="3.40"/>
    <w:docVar w:name="DOCDRAFTERREINDEX" w:val="NO"/>
    <w:docVar w:name="DOCDRAFTERTASKPANE" w:val="782ebd0a-61f2-47fe-a78d-548304ca8dbb"/>
    <w:docVar w:name="VERSIONDETAIL" w:val="0"/>
  </w:docVars>
  <w:rsids>
    <w:rsidRoot w:val="00BE0611"/>
    <w:rsid w:val="00000325"/>
    <w:rsid w:val="00003C86"/>
    <w:rsid w:val="00004F54"/>
    <w:rsid w:val="00007599"/>
    <w:rsid w:val="000077AC"/>
    <w:rsid w:val="00007D0D"/>
    <w:rsid w:val="0001501F"/>
    <w:rsid w:val="0001589B"/>
    <w:rsid w:val="00016D60"/>
    <w:rsid w:val="00024E79"/>
    <w:rsid w:val="00033E3D"/>
    <w:rsid w:val="0004534D"/>
    <w:rsid w:val="00045F75"/>
    <w:rsid w:val="000500D4"/>
    <w:rsid w:val="00051182"/>
    <w:rsid w:val="00055C98"/>
    <w:rsid w:val="00057533"/>
    <w:rsid w:val="00060C68"/>
    <w:rsid w:val="00061BA4"/>
    <w:rsid w:val="0006219F"/>
    <w:rsid w:val="00072B01"/>
    <w:rsid w:val="00081FA8"/>
    <w:rsid w:val="00083CFE"/>
    <w:rsid w:val="0008537D"/>
    <w:rsid w:val="00087F29"/>
    <w:rsid w:val="00090053"/>
    <w:rsid w:val="000A2BA1"/>
    <w:rsid w:val="000A4D34"/>
    <w:rsid w:val="000A7263"/>
    <w:rsid w:val="000A78F1"/>
    <w:rsid w:val="000B05CE"/>
    <w:rsid w:val="000B24BF"/>
    <w:rsid w:val="000B3061"/>
    <w:rsid w:val="000C201B"/>
    <w:rsid w:val="000C3E7F"/>
    <w:rsid w:val="000C4E55"/>
    <w:rsid w:val="000C5387"/>
    <w:rsid w:val="000C7442"/>
    <w:rsid w:val="000C7F32"/>
    <w:rsid w:val="000D1B1E"/>
    <w:rsid w:val="000D1FAE"/>
    <w:rsid w:val="000D2CBF"/>
    <w:rsid w:val="000E2B80"/>
    <w:rsid w:val="000E48DE"/>
    <w:rsid w:val="000E4EFC"/>
    <w:rsid w:val="000E561C"/>
    <w:rsid w:val="000E5813"/>
    <w:rsid w:val="000E5E0B"/>
    <w:rsid w:val="000E6273"/>
    <w:rsid w:val="000E6932"/>
    <w:rsid w:val="000F7FA7"/>
    <w:rsid w:val="00100DBE"/>
    <w:rsid w:val="001100D1"/>
    <w:rsid w:val="001136BF"/>
    <w:rsid w:val="001177BA"/>
    <w:rsid w:val="00120A53"/>
    <w:rsid w:val="00120FF7"/>
    <w:rsid w:val="0012192E"/>
    <w:rsid w:val="00123DC5"/>
    <w:rsid w:val="0012516F"/>
    <w:rsid w:val="001342F3"/>
    <w:rsid w:val="00134C49"/>
    <w:rsid w:val="001369AD"/>
    <w:rsid w:val="00143DC8"/>
    <w:rsid w:val="00144029"/>
    <w:rsid w:val="001468F0"/>
    <w:rsid w:val="00152158"/>
    <w:rsid w:val="00152526"/>
    <w:rsid w:val="00152F30"/>
    <w:rsid w:val="00156526"/>
    <w:rsid w:val="001760D1"/>
    <w:rsid w:val="001769FE"/>
    <w:rsid w:val="00184FDC"/>
    <w:rsid w:val="00196ECE"/>
    <w:rsid w:val="00196F2C"/>
    <w:rsid w:val="001A0299"/>
    <w:rsid w:val="001A077C"/>
    <w:rsid w:val="001A241A"/>
    <w:rsid w:val="001A2F60"/>
    <w:rsid w:val="001A604E"/>
    <w:rsid w:val="001A7584"/>
    <w:rsid w:val="001A7D08"/>
    <w:rsid w:val="001B051D"/>
    <w:rsid w:val="001B0EA4"/>
    <w:rsid w:val="001B51C3"/>
    <w:rsid w:val="001B52CC"/>
    <w:rsid w:val="001B559C"/>
    <w:rsid w:val="001C348E"/>
    <w:rsid w:val="001D1796"/>
    <w:rsid w:val="001D196D"/>
    <w:rsid w:val="001D43F1"/>
    <w:rsid w:val="001D7CA2"/>
    <w:rsid w:val="001E1FA1"/>
    <w:rsid w:val="001E2CE3"/>
    <w:rsid w:val="001E719D"/>
    <w:rsid w:val="001F0002"/>
    <w:rsid w:val="001F3854"/>
    <w:rsid w:val="001F6167"/>
    <w:rsid w:val="001F75DB"/>
    <w:rsid w:val="0020329D"/>
    <w:rsid w:val="0020366F"/>
    <w:rsid w:val="002051CF"/>
    <w:rsid w:val="002052B8"/>
    <w:rsid w:val="00205401"/>
    <w:rsid w:val="00205D56"/>
    <w:rsid w:val="00207843"/>
    <w:rsid w:val="0022218E"/>
    <w:rsid w:val="0022313C"/>
    <w:rsid w:val="002248C0"/>
    <w:rsid w:val="0022621E"/>
    <w:rsid w:val="0023346F"/>
    <w:rsid w:val="00240FC5"/>
    <w:rsid w:val="00245621"/>
    <w:rsid w:val="002456A0"/>
    <w:rsid w:val="00246808"/>
    <w:rsid w:val="00250D46"/>
    <w:rsid w:val="00254EDA"/>
    <w:rsid w:val="002619C3"/>
    <w:rsid w:val="00266F4E"/>
    <w:rsid w:val="002673CE"/>
    <w:rsid w:val="00267BA4"/>
    <w:rsid w:val="00272C77"/>
    <w:rsid w:val="00273F29"/>
    <w:rsid w:val="002771E5"/>
    <w:rsid w:val="00282175"/>
    <w:rsid w:val="00293386"/>
    <w:rsid w:val="002953B9"/>
    <w:rsid w:val="002A263C"/>
    <w:rsid w:val="002A3D00"/>
    <w:rsid w:val="002A4205"/>
    <w:rsid w:val="002A64E2"/>
    <w:rsid w:val="002B4FF6"/>
    <w:rsid w:val="002C05C5"/>
    <w:rsid w:val="002D1F70"/>
    <w:rsid w:val="002D6DD3"/>
    <w:rsid w:val="002D702C"/>
    <w:rsid w:val="002E4A25"/>
    <w:rsid w:val="002E5D2F"/>
    <w:rsid w:val="002E6311"/>
    <w:rsid w:val="002E678B"/>
    <w:rsid w:val="002E6E50"/>
    <w:rsid w:val="002F089C"/>
    <w:rsid w:val="00300C60"/>
    <w:rsid w:val="0030214E"/>
    <w:rsid w:val="00303336"/>
    <w:rsid w:val="00316A73"/>
    <w:rsid w:val="00317151"/>
    <w:rsid w:val="003202C3"/>
    <w:rsid w:val="00322187"/>
    <w:rsid w:val="00324647"/>
    <w:rsid w:val="003253F1"/>
    <w:rsid w:val="003255AB"/>
    <w:rsid w:val="0032736C"/>
    <w:rsid w:val="00327EF2"/>
    <w:rsid w:val="00330A44"/>
    <w:rsid w:val="003339BC"/>
    <w:rsid w:val="00335E6E"/>
    <w:rsid w:val="00345AD5"/>
    <w:rsid w:val="00347103"/>
    <w:rsid w:val="003543B4"/>
    <w:rsid w:val="00364554"/>
    <w:rsid w:val="00364732"/>
    <w:rsid w:val="00371910"/>
    <w:rsid w:val="00371EAF"/>
    <w:rsid w:val="00381B49"/>
    <w:rsid w:val="00381BE5"/>
    <w:rsid w:val="00387D09"/>
    <w:rsid w:val="0039267E"/>
    <w:rsid w:val="00395623"/>
    <w:rsid w:val="0039787F"/>
    <w:rsid w:val="003A4D24"/>
    <w:rsid w:val="003B2C2A"/>
    <w:rsid w:val="003B2FFD"/>
    <w:rsid w:val="003B6C7D"/>
    <w:rsid w:val="003C5691"/>
    <w:rsid w:val="003C56E7"/>
    <w:rsid w:val="003D1963"/>
    <w:rsid w:val="003D3CE1"/>
    <w:rsid w:val="003E2422"/>
    <w:rsid w:val="003E32AF"/>
    <w:rsid w:val="003E7B53"/>
    <w:rsid w:val="003F4F8B"/>
    <w:rsid w:val="00400971"/>
    <w:rsid w:val="0040176D"/>
    <w:rsid w:val="0040233B"/>
    <w:rsid w:val="004041FD"/>
    <w:rsid w:val="0040422D"/>
    <w:rsid w:val="00406DFC"/>
    <w:rsid w:val="00407C79"/>
    <w:rsid w:val="00410EE6"/>
    <w:rsid w:val="00412B89"/>
    <w:rsid w:val="004131FC"/>
    <w:rsid w:val="00413933"/>
    <w:rsid w:val="00416F69"/>
    <w:rsid w:val="004175E1"/>
    <w:rsid w:val="00422110"/>
    <w:rsid w:val="0042789A"/>
    <w:rsid w:val="00433294"/>
    <w:rsid w:val="004401AC"/>
    <w:rsid w:val="00441558"/>
    <w:rsid w:val="004436F9"/>
    <w:rsid w:val="00446BA7"/>
    <w:rsid w:val="004520BE"/>
    <w:rsid w:val="004525E3"/>
    <w:rsid w:val="00462AAB"/>
    <w:rsid w:val="00463394"/>
    <w:rsid w:val="00467A0D"/>
    <w:rsid w:val="004711AD"/>
    <w:rsid w:val="00472B97"/>
    <w:rsid w:val="00474BBD"/>
    <w:rsid w:val="00481274"/>
    <w:rsid w:val="00482AE4"/>
    <w:rsid w:val="00484496"/>
    <w:rsid w:val="00485772"/>
    <w:rsid w:val="00485B78"/>
    <w:rsid w:val="00491927"/>
    <w:rsid w:val="00492022"/>
    <w:rsid w:val="00493D80"/>
    <w:rsid w:val="0049537A"/>
    <w:rsid w:val="00495808"/>
    <w:rsid w:val="0049630E"/>
    <w:rsid w:val="004A1DB1"/>
    <w:rsid w:val="004A1F23"/>
    <w:rsid w:val="004A44CE"/>
    <w:rsid w:val="004A7135"/>
    <w:rsid w:val="004A7B4E"/>
    <w:rsid w:val="004B4276"/>
    <w:rsid w:val="004B6D5C"/>
    <w:rsid w:val="004C269A"/>
    <w:rsid w:val="004D2154"/>
    <w:rsid w:val="004D34CE"/>
    <w:rsid w:val="004E3F9E"/>
    <w:rsid w:val="004E44FF"/>
    <w:rsid w:val="004E5303"/>
    <w:rsid w:val="005039BA"/>
    <w:rsid w:val="0051034E"/>
    <w:rsid w:val="005104C3"/>
    <w:rsid w:val="00513FED"/>
    <w:rsid w:val="005166E2"/>
    <w:rsid w:val="00520199"/>
    <w:rsid w:val="00520502"/>
    <w:rsid w:val="0052168E"/>
    <w:rsid w:val="0053417C"/>
    <w:rsid w:val="005406F1"/>
    <w:rsid w:val="005419AD"/>
    <w:rsid w:val="0054323A"/>
    <w:rsid w:val="0055587A"/>
    <w:rsid w:val="00556C98"/>
    <w:rsid w:val="005618D9"/>
    <w:rsid w:val="00562FF9"/>
    <w:rsid w:val="005642B3"/>
    <w:rsid w:val="005652FC"/>
    <w:rsid w:val="00567C37"/>
    <w:rsid w:val="00567F53"/>
    <w:rsid w:val="00573AD0"/>
    <w:rsid w:val="00574E07"/>
    <w:rsid w:val="00574FAC"/>
    <w:rsid w:val="00582895"/>
    <w:rsid w:val="0058357E"/>
    <w:rsid w:val="005975E9"/>
    <w:rsid w:val="005A0CA9"/>
    <w:rsid w:val="005A0E2A"/>
    <w:rsid w:val="005A775A"/>
    <w:rsid w:val="005B13B8"/>
    <w:rsid w:val="005B1BEB"/>
    <w:rsid w:val="005B4D71"/>
    <w:rsid w:val="005B588C"/>
    <w:rsid w:val="005C022F"/>
    <w:rsid w:val="005C03EE"/>
    <w:rsid w:val="005C2CA1"/>
    <w:rsid w:val="005C2E07"/>
    <w:rsid w:val="005D05BC"/>
    <w:rsid w:val="005D271A"/>
    <w:rsid w:val="005D3ADD"/>
    <w:rsid w:val="005D5B00"/>
    <w:rsid w:val="005D5CEE"/>
    <w:rsid w:val="005D6062"/>
    <w:rsid w:val="005D6D01"/>
    <w:rsid w:val="005E32B1"/>
    <w:rsid w:val="005E4B1A"/>
    <w:rsid w:val="005E6CE7"/>
    <w:rsid w:val="005E70BE"/>
    <w:rsid w:val="005E797E"/>
    <w:rsid w:val="005F136E"/>
    <w:rsid w:val="005F21DB"/>
    <w:rsid w:val="005F3673"/>
    <w:rsid w:val="005F451F"/>
    <w:rsid w:val="005F6838"/>
    <w:rsid w:val="005F76A3"/>
    <w:rsid w:val="00604A4A"/>
    <w:rsid w:val="00604A90"/>
    <w:rsid w:val="00605D82"/>
    <w:rsid w:val="006207F9"/>
    <w:rsid w:val="00621B8D"/>
    <w:rsid w:val="006300E5"/>
    <w:rsid w:val="00636A4D"/>
    <w:rsid w:val="00636CA8"/>
    <w:rsid w:val="006431DC"/>
    <w:rsid w:val="00647716"/>
    <w:rsid w:val="00651836"/>
    <w:rsid w:val="00652470"/>
    <w:rsid w:val="00655540"/>
    <w:rsid w:val="00671F95"/>
    <w:rsid w:val="00675BCD"/>
    <w:rsid w:val="00675FF8"/>
    <w:rsid w:val="00681A3F"/>
    <w:rsid w:val="00683AE1"/>
    <w:rsid w:val="00687DBB"/>
    <w:rsid w:val="00693AFD"/>
    <w:rsid w:val="00697574"/>
    <w:rsid w:val="006A0F51"/>
    <w:rsid w:val="006A11D1"/>
    <w:rsid w:val="006A164D"/>
    <w:rsid w:val="006A49B0"/>
    <w:rsid w:val="006A5F39"/>
    <w:rsid w:val="006A67F1"/>
    <w:rsid w:val="006B0136"/>
    <w:rsid w:val="006B2ADB"/>
    <w:rsid w:val="006C5E96"/>
    <w:rsid w:val="006D0029"/>
    <w:rsid w:val="006D3786"/>
    <w:rsid w:val="006E1823"/>
    <w:rsid w:val="006E1D9E"/>
    <w:rsid w:val="006E7A92"/>
    <w:rsid w:val="006F07B6"/>
    <w:rsid w:val="006F539B"/>
    <w:rsid w:val="006F7975"/>
    <w:rsid w:val="007002C6"/>
    <w:rsid w:val="0070430A"/>
    <w:rsid w:val="0070481B"/>
    <w:rsid w:val="0070698F"/>
    <w:rsid w:val="007145F2"/>
    <w:rsid w:val="00723625"/>
    <w:rsid w:val="00725A66"/>
    <w:rsid w:val="00725E8C"/>
    <w:rsid w:val="00725F47"/>
    <w:rsid w:val="0072603E"/>
    <w:rsid w:val="0072649D"/>
    <w:rsid w:val="007311B3"/>
    <w:rsid w:val="00735377"/>
    <w:rsid w:val="00735CF4"/>
    <w:rsid w:val="0073779B"/>
    <w:rsid w:val="007406AF"/>
    <w:rsid w:val="0074477F"/>
    <w:rsid w:val="007448DC"/>
    <w:rsid w:val="0075056B"/>
    <w:rsid w:val="0075634E"/>
    <w:rsid w:val="007577DC"/>
    <w:rsid w:val="00757CA1"/>
    <w:rsid w:val="00760A39"/>
    <w:rsid w:val="00761147"/>
    <w:rsid w:val="00763D11"/>
    <w:rsid w:val="007652A1"/>
    <w:rsid w:val="007663B0"/>
    <w:rsid w:val="0077282A"/>
    <w:rsid w:val="00775A0E"/>
    <w:rsid w:val="0077647E"/>
    <w:rsid w:val="0078111D"/>
    <w:rsid w:val="00783574"/>
    <w:rsid w:val="0078576A"/>
    <w:rsid w:val="007861C1"/>
    <w:rsid w:val="00790173"/>
    <w:rsid w:val="00791117"/>
    <w:rsid w:val="00796244"/>
    <w:rsid w:val="00797773"/>
    <w:rsid w:val="007A3509"/>
    <w:rsid w:val="007A7737"/>
    <w:rsid w:val="007A77D9"/>
    <w:rsid w:val="007B1B5F"/>
    <w:rsid w:val="007B21EB"/>
    <w:rsid w:val="007B3B95"/>
    <w:rsid w:val="007B3DEF"/>
    <w:rsid w:val="007B5EDE"/>
    <w:rsid w:val="007B6D45"/>
    <w:rsid w:val="007B79F7"/>
    <w:rsid w:val="007C2129"/>
    <w:rsid w:val="007C48B5"/>
    <w:rsid w:val="007C5C2F"/>
    <w:rsid w:val="007C63B7"/>
    <w:rsid w:val="007D3312"/>
    <w:rsid w:val="007E043B"/>
    <w:rsid w:val="007E3EBB"/>
    <w:rsid w:val="007F29AC"/>
    <w:rsid w:val="007F3201"/>
    <w:rsid w:val="008001A6"/>
    <w:rsid w:val="008013C9"/>
    <w:rsid w:val="00801DD7"/>
    <w:rsid w:val="00801E3E"/>
    <w:rsid w:val="00806C03"/>
    <w:rsid w:val="0080787F"/>
    <w:rsid w:val="00811A84"/>
    <w:rsid w:val="00813FA2"/>
    <w:rsid w:val="0082013E"/>
    <w:rsid w:val="00820C0E"/>
    <w:rsid w:val="008260A2"/>
    <w:rsid w:val="00827EDB"/>
    <w:rsid w:val="00827F36"/>
    <w:rsid w:val="0083496A"/>
    <w:rsid w:val="0083719F"/>
    <w:rsid w:val="0083774C"/>
    <w:rsid w:val="00846614"/>
    <w:rsid w:val="00846D3E"/>
    <w:rsid w:val="00847F6D"/>
    <w:rsid w:val="008506A6"/>
    <w:rsid w:val="00850E95"/>
    <w:rsid w:val="00850FA8"/>
    <w:rsid w:val="00852176"/>
    <w:rsid w:val="00864BD0"/>
    <w:rsid w:val="00864E67"/>
    <w:rsid w:val="008662D1"/>
    <w:rsid w:val="00870D99"/>
    <w:rsid w:val="0087144E"/>
    <w:rsid w:val="00875C60"/>
    <w:rsid w:val="00876A3B"/>
    <w:rsid w:val="00877725"/>
    <w:rsid w:val="0088529F"/>
    <w:rsid w:val="00886E70"/>
    <w:rsid w:val="00891AE6"/>
    <w:rsid w:val="00891B75"/>
    <w:rsid w:val="00893823"/>
    <w:rsid w:val="00893F46"/>
    <w:rsid w:val="008964B4"/>
    <w:rsid w:val="008A179B"/>
    <w:rsid w:val="008A2AC3"/>
    <w:rsid w:val="008A4A04"/>
    <w:rsid w:val="008A5218"/>
    <w:rsid w:val="008A5DB0"/>
    <w:rsid w:val="008B1A48"/>
    <w:rsid w:val="008B1ACE"/>
    <w:rsid w:val="008B476B"/>
    <w:rsid w:val="008B6B68"/>
    <w:rsid w:val="008B7B81"/>
    <w:rsid w:val="008C005B"/>
    <w:rsid w:val="008C1069"/>
    <w:rsid w:val="008C6258"/>
    <w:rsid w:val="008C62E7"/>
    <w:rsid w:val="008C7B63"/>
    <w:rsid w:val="008D058B"/>
    <w:rsid w:val="008D1A7E"/>
    <w:rsid w:val="008D67DB"/>
    <w:rsid w:val="008E193A"/>
    <w:rsid w:val="008E1F45"/>
    <w:rsid w:val="008E1F79"/>
    <w:rsid w:val="008E4C37"/>
    <w:rsid w:val="008E7830"/>
    <w:rsid w:val="008F3138"/>
    <w:rsid w:val="008F388E"/>
    <w:rsid w:val="008F51F4"/>
    <w:rsid w:val="008F523B"/>
    <w:rsid w:val="008F691B"/>
    <w:rsid w:val="008F69C4"/>
    <w:rsid w:val="008F7EEA"/>
    <w:rsid w:val="009040C4"/>
    <w:rsid w:val="009122D2"/>
    <w:rsid w:val="00912637"/>
    <w:rsid w:val="009129B8"/>
    <w:rsid w:val="00916120"/>
    <w:rsid w:val="009217EA"/>
    <w:rsid w:val="00922C4D"/>
    <w:rsid w:val="00923D36"/>
    <w:rsid w:val="00927A1E"/>
    <w:rsid w:val="00932AC6"/>
    <w:rsid w:val="00935AE1"/>
    <w:rsid w:val="00937384"/>
    <w:rsid w:val="00937F63"/>
    <w:rsid w:val="00941BC7"/>
    <w:rsid w:val="00943972"/>
    <w:rsid w:val="00946FCB"/>
    <w:rsid w:val="00947FF3"/>
    <w:rsid w:val="009546AB"/>
    <w:rsid w:val="009572B2"/>
    <w:rsid w:val="00960754"/>
    <w:rsid w:val="00970729"/>
    <w:rsid w:val="00977DBE"/>
    <w:rsid w:val="009841AD"/>
    <w:rsid w:val="009845B1"/>
    <w:rsid w:val="009867F1"/>
    <w:rsid w:val="009873D6"/>
    <w:rsid w:val="0099252F"/>
    <w:rsid w:val="00995584"/>
    <w:rsid w:val="009A76EE"/>
    <w:rsid w:val="009B0102"/>
    <w:rsid w:val="009B28BE"/>
    <w:rsid w:val="009B2AFE"/>
    <w:rsid w:val="009C03C8"/>
    <w:rsid w:val="009C31EF"/>
    <w:rsid w:val="009C45E1"/>
    <w:rsid w:val="009C701B"/>
    <w:rsid w:val="009D2A5B"/>
    <w:rsid w:val="009D47C1"/>
    <w:rsid w:val="009D4A56"/>
    <w:rsid w:val="009E08E6"/>
    <w:rsid w:val="009E1A59"/>
    <w:rsid w:val="009E2416"/>
    <w:rsid w:val="009E254D"/>
    <w:rsid w:val="009E376D"/>
    <w:rsid w:val="009E584F"/>
    <w:rsid w:val="009F2161"/>
    <w:rsid w:val="009F4DA1"/>
    <w:rsid w:val="00A00372"/>
    <w:rsid w:val="00A07DFC"/>
    <w:rsid w:val="00A102B0"/>
    <w:rsid w:val="00A1095A"/>
    <w:rsid w:val="00A13FF9"/>
    <w:rsid w:val="00A1611F"/>
    <w:rsid w:val="00A17C65"/>
    <w:rsid w:val="00A20646"/>
    <w:rsid w:val="00A243B7"/>
    <w:rsid w:val="00A24ABD"/>
    <w:rsid w:val="00A26F2A"/>
    <w:rsid w:val="00A44A0B"/>
    <w:rsid w:val="00A5452A"/>
    <w:rsid w:val="00A54E88"/>
    <w:rsid w:val="00A54F2D"/>
    <w:rsid w:val="00A5585B"/>
    <w:rsid w:val="00A55E2B"/>
    <w:rsid w:val="00A6503B"/>
    <w:rsid w:val="00A65161"/>
    <w:rsid w:val="00A65568"/>
    <w:rsid w:val="00A655D1"/>
    <w:rsid w:val="00A732D3"/>
    <w:rsid w:val="00A748F1"/>
    <w:rsid w:val="00A76AA1"/>
    <w:rsid w:val="00A843F0"/>
    <w:rsid w:val="00A8455B"/>
    <w:rsid w:val="00A85859"/>
    <w:rsid w:val="00A86AA1"/>
    <w:rsid w:val="00A9091E"/>
    <w:rsid w:val="00A91A94"/>
    <w:rsid w:val="00A91F58"/>
    <w:rsid w:val="00A9221A"/>
    <w:rsid w:val="00AA1E4A"/>
    <w:rsid w:val="00AA6A73"/>
    <w:rsid w:val="00AA7C79"/>
    <w:rsid w:val="00AB03EA"/>
    <w:rsid w:val="00AB0A96"/>
    <w:rsid w:val="00AB2CA1"/>
    <w:rsid w:val="00AB3F59"/>
    <w:rsid w:val="00AD14F7"/>
    <w:rsid w:val="00AD296E"/>
    <w:rsid w:val="00AD4379"/>
    <w:rsid w:val="00AD599C"/>
    <w:rsid w:val="00AE1430"/>
    <w:rsid w:val="00AE39A8"/>
    <w:rsid w:val="00AE69C4"/>
    <w:rsid w:val="00AE777C"/>
    <w:rsid w:val="00AF5AB4"/>
    <w:rsid w:val="00B05223"/>
    <w:rsid w:val="00B116ED"/>
    <w:rsid w:val="00B23EB7"/>
    <w:rsid w:val="00B260D5"/>
    <w:rsid w:val="00B27CAF"/>
    <w:rsid w:val="00B32AE3"/>
    <w:rsid w:val="00B32C83"/>
    <w:rsid w:val="00B339A8"/>
    <w:rsid w:val="00B355B9"/>
    <w:rsid w:val="00B52AB4"/>
    <w:rsid w:val="00B5337D"/>
    <w:rsid w:val="00B53CD0"/>
    <w:rsid w:val="00B56E79"/>
    <w:rsid w:val="00B61D41"/>
    <w:rsid w:val="00B73138"/>
    <w:rsid w:val="00B82311"/>
    <w:rsid w:val="00B9002F"/>
    <w:rsid w:val="00B97494"/>
    <w:rsid w:val="00BA7433"/>
    <w:rsid w:val="00BB124E"/>
    <w:rsid w:val="00BB59DD"/>
    <w:rsid w:val="00BC203B"/>
    <w:rsid w:val="00BC32B7"/>
    <w:rsid w:val="00BC3FF0"/>
    <w:rsid w:val="00BD0364"/>
    <w:rsid w:val="00BD07D9"/>
    <w:rsid w:val="00BD0904"/>
    <w:rsid w:val="00BD51E0"/>
    <w:rsid w:val="00BD6414"/>
    <w:rsid w:val="00BE0611"/>
    <w:rsid w:val="00BE1301"/>
    <w:rsid w:val="00BE23CB"/>
    <w:rsid w:val="00BE3DFF"/>
    <w:rsid w:val="00BE6354"/>
    <w:rsid w:val="00BE708F"/>
    <w:rsid w:val="00BE799B"/>
    <w:rsid w:val="00BF2981"/>
    <w:rsid w:val="00C04310"/>
    <w:rsid w:val="00C0589F"/>
    <w:rsid w:val="00C074E4"/>
    <w:rsid w:val="00C07810"/>
    <w:rsid w:val="00C12860"/>
    <w:rsid w:val="00C133E9"/>
    <w:rsid w:val="00C161BF"/>
    <w:rsid w:val="00C172C0"/>
    <w:rsid w:val="00C25FAD"/>
    <w:rsid w:val="00C335EC"/>
    <w:rsid w:val="00C34A39"/>
    <w:rsid w:val="00C361A6"/>
    <w:rsid w:val="00C36923"/>
    <w:rsid w:val="00C37E1F"/>
    <w:rsid w:val="00C40301"/>
    <w:rsid w:val="00C458F0"/>
    <w:rsid w:val="00C45FD1"/>
    <w:rsid w:val="00C47DB6"/>
    <w:rsid w:val="00C52175"/>
    <w:rsid w:val="00C52607"/>
    <w:rsid w:val="00C52746"/>
    <w:rsid w:val="00C534F3"/>
    <w:rsid w:val="00C56F09"/>
    <w:rsid w:val="00C619C8"/>
    <w:rsid w:val="00C70149"/>
    <w:rsid w:val="00C70600"/>
    <w:rsid w:val="00C72C3C"/>
    <w:rsid w:val="00C75990"/>
    <w:rsid w:val="00C8752F"/>
    <w:rsid w:val="00C928E2"/>
    <w:rsid w:val="00C96A09"/>
    <w:rsid w:val="00CA1766"/>
    <w:rsid w:val="00CA3837"/>
    <w:rsid w:val="00CB0EB3"/>
    <w:rsid w:val="00CB14AB"/>
    <w:rsid w:val="00CB44D1"/>
    <w:rsid w:val="00CC0AF8"/>
    <w:rsid w:val="00CC32A6"/>
    <w:rsid w:val="00CC46BE"/>
    <w:rsid w:val="00CC77F0"/>
    <w:rsid w:val="00CE1B22"/>
    <w:rsid w:val="00CE450A"/>
    <w:rsid w:val="00CE65A4"/>
    <w:rsid w:val="00CF05FC"/>
    <w:rsid w:val="00CF11DE"/>
    <w:rsid w:val="00CF15A7"/>
    <w:rsid w:val="00CF2F90"/>
    <w:rsid w:val="00CF3242"/>
    <w:rsid w:val="00CF69B3"/>
    <w:rsid w:val="00D0095E"/>
    <w:rsid w:val="00D00CF0"/>
    <w:rsid w:val="00D01A2D"/>
    <w:rsid w:val="00D028B5"/>
    <w:rsid w:val="00D03753"/>
    <w:rsid w:val="00D04624"/>
    <w:rsid w:val="00D04FB6"/>
    <w:rsid w:val="00D05205"/>
    <w:rsid w:val="00D0632A"/>
    <w:rsid w:val="00D12C59"/>
    <w:rsid w:val="00D1481E"/>
    <w:rsid w:val="00D23258"/>
    <w:rsid w:val="00D2641A"/>
    <w:rsid w:val="00D3451A"/>
    <w:rsid w:val="00D35543"/>
    <w:rsid w:val="00D42657"/>
    <w:rsid w:val="00D56357"/>
    <w:rsid w:val="00D6381F"/>
    <w:rsid w:val="00D64FC7"/>
    <w:rsid w:val="00D656DA"/>
    <w:rsid w:val="00D72B6F"/>
    <w:rsid w:val="00D82E11"/>
    <w:rsid w:val="00D83D83"/>
    <w:rsid w:val="00D852FF"/>
    <w:rsid w:val="00D91B8B"/>
    <w:rsid w:val="00D94520"/>
    <w:rsid w:val="00D946A8"/>
    <w:rsid w:val="00D95707"/>
    <w:rsid w:val="00DA36CC"/>
    <w:rsid w:val="00DA3AB1"/>
    <w:rsid w:val="00DA52E5"/>
    <w:rsid w:val="00DA5789"/>
    <w:rsid w:val="00DB274B"/>
    <w:rsid w:val="00DB6103"/>
    <w:rsid w:val="00DB774B"/>
    <w:rsid w:val="00DC1B80"/>
    <w:rsid w:val="00DC6589"/>
    <w:rsid w:val="00DC6B95"/>
    <w:rsid w:val="00DD099A"/>
    <w:rsid w:val="00DD6558"/>
    <w:rsid w:val="00DE495F"/>
    <w:rsid w:val="00DE56F3"/>
    <w:rsid w:val="00DE73BE"/>
    <w:rsid w:val="00DF0DFC"/>
    <w:rsid w:val="00DF1054"/>
    <w:rsid w:val="00DF2830"/>
    <w:rsid w:val="00DF3208"/>
    <w:rsid w:val="00DF33A3"/>
    <w:rsid w:val="00DF6D8A"/>
    <w:rsid w:val="00E0231D"/>
    <w:rsid w:val="00E12303"/>
    <w:rsid w:val="00E12743"/>
    <w:rsid w:val="00E2013D"/>
    <w:rsid w:val="00E22C51"/>
    <w:rsid w:val="00E247D5"/>
    <w:rsid w:val="00E2756A"/>
    <w:rsid w:val="00E31F71"/>
    <w:rsid w:val="00E3278C"/>
    <w:rsid w:val="00E40C14"/>
    <w:rsid w:val="00E41804"/>
    <w:rsid w:val="00E42516"/>
    <w:rsid w:val="00E44BB4"/>
    <w:rsid w:val="00E4670E"/>
    <w:rsid w:val="00E46947"/>
    <w:rsid w:val="00E50746"/>
    <w:rsid w:val="00E509B1"/>
    <w:rsid w:val="00E52F56"/>
    <w:rsid w:val="00E5311D"/>
    <w:rsid w:val="00E53EB7"/>
    <w:rsid w:val="00E54A83"/>
    <w:rsid w:val="00E574A6"/>
    <w:rsid w:val="00E625CB"/>
    <w:rsid w:val="00E62BD0"/>
    <w:rsid w:val="00E633AA"/>
    <w:rsid w:val="00E66CCD"/>
    <w:rsid w:val="00E67AC2"/>
    <w:rsid w:val="00E67D68"/>
    <w:rsid w:val="00E72020"/>
    <w:rsid w:val="00E7615F"/>
    <w:rsid w:val="00E77978"/>
    <w:rsid w:val="00E802A4"/>
    <w:rsid w:val="00E805F1"/>
    <w:rsid w:val="00E80EB9"/>
    <w:rsid w:val="00E83014"/>
    <w:rsid w:val="00E85572"/>
    <w:rsid w:val="00E85C9B"/>
    <w:rsid w:val="00E86436"/>
    <w:rsid w:val="00E87600"/>
    <w:rsid w:val="00E90F9D"/>
    <w:rsid w:val="00E92483"/>
    <w:rsid w:val="00E97E84"/>
    <w:rsid w:val="00E97F8C"/>
    <w:rsid w:val="00EA009F"/>
    <w:rsid w:val="00EA0E9E"/>
    <w:rsid w:val="00EA22DE"/>
    <w:rsid w:val="00EA4A9D"/>
    <w:rsid w:val="00EB01BD"/>
    <w:rsid w:val="00EB063D"/>
    <w:rsid w:val="00EB2D7E"/>
    <w:rsid w:val="00EB4FB3"/>
    <w:rsid w:val="00EC6348"/>
    <w:rsid w:val="00ED2CAD"/>
    <w:rsid w:val="00ED56E3"/>
    <w:rsid w:val="00ED6AC6"/>
    <w:rsid w:val="00EE0F9F"/>
    <w:rsid w:val="00EE4737"/>
    <w:rsid w:val="00EF1679"/>
    <w:rsid w:val="00EF3E03"/>
    <w:rsid w:val="00EF405F"/>
    <w:rsid w:val="00EF4388"/>
    <w:rsid w:val="00EF75BB"/>
    <w:rsid w:val="00F036B6"/>
    <w:rsid w:val="00F04D13"/>
    <w:rsid w:val="00F04E38"/>
    <w:rsid w:val="00F133A2"/>
    <w:rsid w:val="00F149AF"/>
    <w:rsid w:val="00F15A56"/>
    <w:rsid w:val="00F21C16"/>
    <w:rsid w:val="00F2323B"/>
    <w:rsid w:val="00F260EB"/>
    <w:rsid w:val="00F35166"/>
    <w:rsid w:val="00F37AC6"/>
    <w:rsid w:val="00F41857"/>
    <w:rsid w:val="00F424B2"/>
    <w:rsid w:val="00F50C86"/>
    <w:rsid w:val="00F577DF"/>
    <w:rsid w:val="00F61AEC"/>
    <w:rsid w:val="00F620D4"/>
    <w:rsid w:val="00F624F6"/>
    <w:rsid w:val="00F648CB"/>
    <w:rsid w:val="00F6588A"/>
    <w:rsid w:val="00F66852"/>
    <w:rsid w:val="00F7019E"/>
    <w:rsid w:val="00F73DCD"/>
    <w:rsid w:val="00F74008"/>
    <w:rsid w:val="00F84FBB"/>
    <w:rsid w:val="00F86B26"/>
    <w:rsid w:val="00F914EC"/>
    <w:rsid w:val="00F96848"/>
    <w:rsid w:val="00F96B6B"/>
    <w:rsid w:val="00FA1DAD"/>
    <w:rsid w:val="00FA4796"/>
    <w:rsid w:val="00FA6E0D"/>
    <w:rsid w:val="00FB145F"/>
    <w:rsid w:val="00FB3339"/>
    <w:rsid w:val="00FC0C19"/>
    <w:rsid w:val="00FC2EEC"/>
    <w:rsid w:val="00FC4628"/>
    <w:rsid w:val="00FD0D83"/>
    <w:rsid w:val="00FD1444"/>
    <w:rsid w:val="00FD1A0C"/>
    <w:rsid w:val="00FD65F3"/>
    <w:rsid w:val="018CDA9F"/>
    <w:rsid w:val="01A50C88"/>
    <w:rsid w:val="02043F7D"/>
    <w:rsid w:val="0358B1D3"/>
    <w:rsid w:val="03ED5AFC"/>
    <w:rsid w:val="0407C732"/>
    <w:rsid w:val="04DD929F"/>
    <w:rsid w:val="05733919"/>
    <w:rsid w:val="05F443BE"/>
    <w:rsid w:val="06865F81"/>
    <w:rsid w:val="06A6A858"/>
    <w:rsid w:val="071FCC70"/>
    <w:rsid w:val="08E61FF9"/>
    <w:rsid w:val="0B0A7321"/>
    <w:rsid w:val="0B585A9F"/>
    <w:rsid w:val="0BBDD020"/>
    <w:rsid w:val="0C29615E"/>
    <w:rsid w:val="0CB7FEB9"/>
    <w:rsid w:val="0D4ACDA2"/>
    <w:rsid w:val="0D75F65F"/>
    <w:rsid w:val="0D7841C5"/>
    <w:rsid w:val="0E74FE8B"/>
    <w:rsid w:val="0F7AE6CA"/>
    <w:rsid w:val="107C012D"/>
    <w:rsid w:val="10FA4ACF"/>
    <w:rsid w:val="1344D8A4"/>
    <w:rsid w:val="1375908E"/>
    <w:rsid w:val="13A249AE"/>
    <w:rsid w:val="1586E8B8"/>
    <w:rsid w:val="15B26A0E"/>
    <w:rsid w:val="15E29451"/>
    <w:rsid w:val="169D3E51"/>
    <w:rsid w:val="174C73BA"/>
    <w:rsid w:val="17E358D9"/>
    <w:rsid w:val="19FAADF3"/>
    <w:rsid w:val="1AD3B75D"/>
    <w:rsid w:val="1CA21C28"/>
    <w:rsid w:val="1CD0E627"/>
    <w:rsid w:val="1DAEB6CE"/>
    <w:rsid w:val="1EEF9D66"/>
    <w:rsid w:val="1FD80564"/>
    <w:rsid w:val="20520231"/>
    <w:rsid w:val="21B846B5"/>
    <w:rsid w:val="23FC7C75"/>
    <w:rsid w:val="23FDA690"/>
    <w:rsid w:val="2445F580"/>
    <w:rsid w:val="24BAD633"/>
    <w:rsid w:val="24BC22EE"/>
    <w:rsid w:val="255BD4E8"/>
    <w:rsid w:val="25763B31"/>
    <w:rsid w:val="25B3D50D"/>
    <w:rsid w:val="277FB782"/>
    <w:rsid w:val="283E7198"/>
    <w:rsid w:val="2866FA5E"/>
    <w:rsid w:val="2953999E"/>
    <w:rsid w:val="29C64400"/>
    <w:rsid w:val="29FCF5C1"/>
    <w:rsid w:val="2B1611D0"/>
    <w:rsid w:val="2D95C0B5"/>
    <w:rsid w:val="2E0E7B28"/>
    <w:rsid w:val="2F7A0912"/>
    <w:rsid w:val="2FB2665A"/>
    <w:rsid w:val="2FCCBAFE"/>
    <w:rsid w:val="3039FE84"/>
    <w:rsid w:val="31791F66"/>
    <w:rsid w:val="31F7C7A7"/>
    <w:rsid w:val="32328270"/>
    <w:rsid w:val="339A1449"/>
    <w:rsid w:val="35B5AE76"/>
    <w:rsid w:val="35EBC35C"/>
    <w:rsid w:val="363A4221"/>
    <w:rsid w:val="36D68808"/>
    <w:rsid w:val="3792E5CF"/>
    <w:rsid w:val="38247CD8"/>
    <w:rsid w:val="39EC92CE"/>
    <w:rsid w:val="3BCEA17B"/>
    <w:rsid w:val="3C19FA56"/>
    <w:rsid w:val="3CAE2491"/>
    <w:rsid w:val="3CB0385B"/>
    <w:rsid w:val="3EBBBD42"/>
    <w:rsid w:val="3EEBEC22"/>
    <w:rsid w:val="3FEB8997"/>
    <w:rsid w:val="40FE26F3"/>
    <w:rsid w:val="41BDF267"/>
    <w:rsid w:val="41C9AF23"/>
    <w:rsid w:val="436FD787"/>
    <w:rsid w:val="43DAE7D0"/>
    <w:rsid w:val="43EC4BF0"/>
    <w:rsid w:val="44A9E918"/>
    <w:rsid w:val="44C36EA7"/>
    <w:rsid w:val="44C8DA36"/>
    <w:rsid w:val="457F683F"/>
    <w:rsid w:val="45E1CE1D"/>
    <w:rsid w:val="47413B49"/>
    <w:rsid w:val="48650B50"/>
    <w:rsid w:val="49AE34FF"/>
    <w:rsid w:val="4A150CA8"/>
    <w:rsid w:val="4A4D39ED"/>
    <w:rsid w:val="4A8A9B85"/>
    <w:rsid w:val="4B45C4FA"/>
    <w:rsid w:val="4B704C4F"/>
    <w:rsid w:val="4C3201A8"/>
    <w:rsid w:val="4C3F2269"/>
    <w:rsid w:val="4C75BDBC"/>
    <w:rsid w:val="4CEBBCCE"/>
    <w:rsid w:val="4DA29083"/>
    <w:rsid w:val="4DB6E2FF"/>
    <w:rsid w:val="4EF3C126"/>
    <w:rsid w:val="4F70AF31"/>
    <w:rsid w:val="50E2AB74"/>
    <w:rsid w:val="512870EA"/>
    <w:rsid w:val="5204EC7D"/>
    <w:rsid w:val="5205C22D"/>
    <w:rsid w:val="5336C70D"/>
    <w:rsid w:val="53900E70"/>
    <w:rsid w:val="543D316F"/>
    <w:rsid w:val="550DB183"/>
    <w:rsid w:val="55172513"/>
    <w:rsid w:val="5644D45B"/>
    <w:rsid w:val="567A5591"/>
    <w:rsid w:val="598B80A7"/>
    <w:rsid w:val="5B51B97B"/>
    <w:rsid w:val="5B535861"/>
    <w:rsid w:val="5B561B21"/>
    <w:rsid w:val="5BBD3F44"/>
    <w:rsid w:val="5BE95904"/>
    <w:rsid w:val="5BEB1320"/>
    <w:rsid w:val="5CDFE393"/>
    <w:rsid w:val="5E9690FF"/>
    <w:rsid w:val="5EF32CDF"/>
    <w:rsid w:val="5FA95221"/>
    <w:rsid w:val="6092BF7E"/>
    <w:rsid w:val="60FCC7C7"/>
    <w:rsid w:val="610F2D62"/>
    <w:rsid w:val="618D851F"/>
    <w:rsid w:val="61DBB542"/>
    <w:rsid w:val="6268440B"/>
    <w:rsid w:val="627D932A"/>
    <w:rsid w:val="6283BA63"/>
    <w:rsid w:val="62E0A794"/>
    <w:rsid w:val="63211815"/>
    <w:rsid w:val="6447B8C1"/>
    <w:rsid w:val="64823166"/>
    <w:rsid w:val="6582C47E"/>
    <w:rsid w:val="66B23159"/>
    <w:rsid w:val="676210E3"/>
    <w:rsid w:val="68124591"/>
    <w:rsid w:val="68312B13"/>
    <w:rsid w:val="68BD457D"/>
    <w:rsid w:val="68DEDA9F"/>
    <w:rsid w:val="6970B03B"/>
    <w:rsid w:val="6972823F"/>
    <w:rsid w:val="69AAF2FF"/>
    <w:rsid w:val="6BD247D2"/>
    <w:rsid w:val="6BF86DA2"/>
    <w:rsid w:val="6CB5132D"/>
    <w:rsid w:val="6D52F689"/>
    <w:rsid w:val="6E285CED"/>
    <w:rsid w:val="6ECD27F2"/>
    <w:rsid w:val="6F25E851"/>
    <w:rsid w:val="6F3066A9"/>
    <w:rsid w:val="6F663556"/>
    <w:rsid w:val="6FCFD676"/>
    <w:rsid w:val="7245D3EA"/>
    <w:rsid w:val="738E6749"/>
    <w:rsid w:val="73EF9441"/>
    <w:rsid w:val="752BB3D5"/>
    <w:rsid w:val="7574E2FA"/>
    <w:rsid w:val="75B98C7B"/>
    <w:rsid w:val="762C2842"/>
    <w:rsid w:val="77E24F33"/>
    <w:rsid w:val="7997BE3B"/>
    <w:rsid w:val="7C08CB26"/>
    <w:rsid w:val="7CBDABF4"/>
    <w:rsid w:val="7CCB83D0"/>
    <w:rsid w:val="7DC73139"/>
    <w:rsid w:val="7E14A750"/>
    <w:rsid w:val="7E2717ED"/>
    <w:rsid w:val="7E75F458"/>
    <w:rsid w:val="7EE3749D"/>
    <w:rsid w:val="7FFFA69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B2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Heading2">
    <w:name w:val="heading 2"/>
    <w:basedOn w:val="Normal"/>
    <w:next w:val="Normal"/>
    <w:link w:val="Heading2Char"/>
    <w:uiPriority w:val="9"/>
    <w:semiHidden/>
    <w:unhideWhenUsed/>
    <w:qFormat/>
    <w:rsid w:val="00BE06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06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06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06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rsid w:val="0070698F"/>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Heading7">
    <w:name w:val="heading 7"/>
    <w:basedOn w:val="Normal"/>
    <w:next w:val="Normal"/>
    <w:link w:val="Heading7Char"/>
    <w:rsid w:val="0070698F"/>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Heading8">
    <w:name w:val="heading 8"/>
    <w:basedOn w:val="Normal"/>
    <w:next w:val="Normal"/>
    <w:link w:val="Heading8Char"/>
    <w:rsid w:val="0070698F"/>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Heading9">
    <w:name w:val="heading 9"/>
    <w:basedOn w:val="Normal"/>
    <w:next w:val="Normal"/>
    <w:link w:val="Heading9Char"/>
    <w:rsid w:val="0070698F"/>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98F"/>
    <w:rPr>
      <w:rFonts w:asciiTheme="majorHAnsi" w:eastAsiaTheme="majorEastAsia" w:hAnsiTheme="majorHAnsi" w:cstheme="majorBidi"/>
      <w:color w:val="1F1F5E"/>
      <w:sz w:val="32"/>
      <w:szCs w:val="32"/>
    </w:rPr>
  </w:style>
  <w:style w:type="character" w:customStyle="1" w:styleId="Heading6Char">
    <w:name w:val="Heading 6 Char"/>
    <w:basedOn w:val="DefaultParagraphFont"/>
    <w:link w:val="Heading6"/>
    <w:rsid w:val="0070698F"/>
    <w:rPr>
      <w:rFonts w:ascii="Times New Roman" w:eastAsia="Times New Roman" w:hAnsi="Times New Roman" w:cs="Times New Roman"/>
      <w:b/>
      <w:bCs/>
      <w:sz w:val="24"/>
      <w:szCs w:val="24"/>
      <w:lang w:eastAsia="et-EE"/>
    </w:rPr>
  </w:style>
  <w:style w:type="character" w:customStyle="1" w:styleId="Heading7Char">
    <w:name w:val="Heading 7 Char"/>
    <w:basedOn w:val="DefaultParagraphFont"/>
    <w:link w:val="Heading7"/>
    <w:rsid w:val="0070698F"/>
    <w:rPr>
      <w:rFonts w:ascii="Times New Roman" w:eastAsia="Times New Roman" w:hAnsi="Times New Roman" w:cs="Times New Roman"/>
      <w:sz w:val="24"/>
      <w:szCs w:val="24"/>
      <w:lang w:eastAsia="et-EE"/>
    </w:rPr>
  </w:style>
  <w:style w:type="character" w:customStyle="1" w:styleId="Heading8Char">
    <w:name w:val="Heading 8 Char"/>
    <w:basedOn w:val="DefaultParagraphFont"/>
    <w:link w:val="Heading8"/>
    <w:rsid w:val="0070698F"/>
    <w:rPr>
      <w:rFonts w:ascii="Times New Roman" w:eastAsia="Times New Roman" w:hAnsi="Times New Roman" w:cs="Times New Roman"/>
      <w:i/>
      <w:iCs/>
      <w:sz w:val="24"/>
      <w:szCs w:val="24"/>
      <w:lang w:eastAsia="et-EE"/>
    </w:rPr>
  </w:style>
  <w:style w:type="character" w:customStyle="1" w:styleId="Heading9Char">
    <w:name w:val="Heading 9 Char"/>
    <w:basedOn w:val="DefaultParagraphFont"/>
    <w:link w:val="Heading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5056B"/>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Header">
    <w:name w:val="header"/>
    <w:basedOn w:val="SLONormalSmall"/>
    <w:link w:val="HeaderChar"/>
    <w:rsid w:val="0070698F"/>
    <w:pPr>
      <w:tabs>
        <w:tab w:val="center" w:pos="4535"/>
        <w:tab w:val="right" w:pos="9071"/>
      </w:tabs>
    </w:pPr>
  </w:style>
  <w:style w:type="character" w:customStyle="1" w:styleId="HeaderChar">
    <w:name w:val="Header Char"/>
    <w:basedOn w:val="DefaultParagraphFont"/>
    <w:link w:val="Header"/>
    <w:rsid w:val="0070698F"/>
    <w:rPr>
      <w:rFonts w:ascii="Times New Roman" w:eastAsia="Times New Roman" w:hAnsi="Times New Roman" w:cs="Times New Roman"/>
      <w:sz w:val="20"/>
      <w:szCs w:val="24"/>
      <w:lang w:val="en-GB"/>
    </w:rPr>
  </w:style>
  <w:style w:type="paragraph" w:styleId="Footer">
    <w:name w:val="footer"/>
    <w:basedOn w:val="SLONormalSmall"/>
    <w:link w:val="FooterChar"/>
    <w:uiPriority w:val="99"/>
    <w:rsid w:val="005D6D01"/>
    <w:pPr>
      <w:tabs>
        <w:tab w:val="center" w:pos="4535"/>
        <w:tab w:val="right" w:pos="9071"/>
      </w:tabs>
    </w:pPr>
  </w:style>
  <w:style w:type="character" w:customStyle="1" w:styleId="FooterChar">
    <w:name w:val="Footer Char"/>
    <w:basedOn w:val="DefaultParagraphFont"/>
    <w:link w:val="Footer"/>
    <w:uiPriority w:val="99"/>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DefaultParagraph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FootnoteText">
    <w:name w:val="footnote text"/>
    <w:basedOn w:val="SLONormal"/>
    <w:link w:val="FootnoteTextChar"/>
    <w:unhideWhenUsed/>
    <w:qFormat/>
    <w:rsid w:val="007A7737"/>
    <w:pPr>
      <w:spacing w:before="0" w:after="0"/>
      <w:ind w:left="142" w:hanging="142"/>
    </w:pPr>
    <w:rPr>
      <w:sz w:val="20"/>
      <w:szCs w:val="20"/>
    </w:rPr>
  </w:style>
  <w:style w:type="character" w:customStyle="1" w:styleId="FootnoteTextChar">
    <w:name w:val="Footnote Text Char"/>
    <w:basedOn w:val="DefaultParagraphFont"/>
    <w:link w:val="FootnoteText"/>
    <w:rsid w:val="007A7737"/>
    <w:rPr>
      <w:rFonts w:ascii="Times New Roman" w:eastAsia="Times New Roman" w:hAnsi="Times New Roman" w:cs="Times New Roman"/>
      <w:sz w:val="20"/>
      <w:szCs w:val="20"/>
      <w:lang w:val="en-GB"/>
    </w:rPr>
  </w:style>
  <w:style w:type="paragraph" w:customStyle="1" w:styleId="ENG-1stlevelheading">
    <w:name w:val="ENG - 1st level (heading)"/>
    <w:basedOn w:val="SLONormal"/>
    <w:next w:val="Normal"/>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character" w:customStyle="1" w:styleId="Heading2Char">
    <w:name w:val="Heading 2 Char"/>
    <w:basedOn w:val="DefaultParagraphFont"/>
    <w:link w:val="Heading2"/>
    <w:uiPriority w:val="9"/>
    <w:semiHidden/>
    <w:rsid w:val="00BE06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06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06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0611"/>
    <w:rPr>
      <w:rFonts w:eastAsiaTheme="majorEastAsia" w:cstheme="majorBidi"/>
      <w:color w:val="2F5496" w:themeColor="accent1" w:themeShade="BF"/>
    </w:rPr>
  </w:style>
  <w:style w:type="paragraph" w:styleId="Title">
    <w:name w:val="Title"/>
    <w:basedOn w:val="Normal"/>
    <w:next w:val="Normal"/>
    <w:link w:val="TitleChar"/>
    <w:uiPriority w:val="10"/>
    <w:qFormat/>
    <w:rsid w:val="00BE0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611"/>
    <w:pPr>
      <w:spacing w:before="160"/>
      <w:jc w:val="center"/>
    </w:pPr>
    <w:rPr>
      <w:i/>
      <w:iCs/>
      <w:color w:val="404040" w:themeColor="text1" w:themeTint="BF"/>
    </w:rPr>
  </w:style>
  <w:style w:type="character" w:customStyle="1" w:styleId="QuoteChar">
    <w:name w:val="Quote Char"/>
    <w:basedOn w:val="DefaultParagraphFont"/>
    <w:link w:val="Quote"/>
    <w:uiPriority w:val="29"/>
    <w:rsid w:val="00BE0611"/>
    <w:rPr>
      <w:i/>
      <w:iCs/>
      <w:color w:val="404040" w:themeColor="text1" w:themeTint="BF"/>
    </w:rPr>
  </w:style>
  <w:style w:type="paragraph" w:styleId="ListParagraph">
    <w:name w:val="List Paragraph"/>
    <w:basedOn w:val="Normal"/>
    <w:uiPriority w:val="34"/>
    <w:qFormat/>
    <w:rsid w:val="00BE0611"/>
    <w:pPr>
      <w:ind w:left="720"/>
      <w:contextualSpacing/>
    </w:pPr>
  </w:style>
  <w:style w:type="character" w:styleId="IntenseEmphasis">
    <w:name w:val="Intense Emphasis"/>
    <w:basedOn w:val="DefaultParagraphFont"/>
    <w:uiPriority w:val="21"/>
    <w:qFormat/>
    <w:rsid w:val="00BE0611"/>
    <w:rPr>
      <w:i/>
      <w:iCs/>
      <w:color w:val="2F5496" w:themeColor="accent1" w:themeShade="BF"/>
    </w:rPr>
  </w:style>
  <w:style w:type="paragraph" w:styleId="IntenseQuote">
    <w:name w:val="Intense Quote"/>
    <w:basedOn w:val="Normal"/>
    <w:next w:val="Normal"/>
    <w:link w:val="IntenseQuoteChar"/>
    <w:uiPriority w:val="30"/>
    <w:qFormat/>
    <w:rsid w:val="00BE0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0611"/>
    <w:rPr>
      <w:i/>
      <w:iCs/>
      <w:color w:val="2F5496" w:themeColor="accent1" w:themeShade="BF"/>
    </w:rPr>
  </w:style>
  <w:style w:type="character" w:styleId="IntenseReference">
    <w:name w:val="Intense Reference"/>
    <w:basedOn w:val="DefaultParagraphFont"/>
    <w:uiPriority w:val="32"/>
    <w:qFormat/>
    <w:rsid w:val="00BE0611"/>
    <w:rPr>
      <w:b/>
      <w:bCs/>
      <w:smallCaps/>
      <w:color w:val="2F5496" w:themeColor="accent1" w:themeShade="BF"/>
      <w:spacing w:val="5"/>
    </w:rPr>
  </w:style>
  <w:style w:type="character" w:styleId="Hyperlink">
    <w:name w:val="Hyperlink"/>
    <w:basedOn w:val="DefaultParagraphFont"/>
    <w:uiPriority w:val="99"/>
    <w:unhideWhenUsed/>
    <w:rsid w:val="000D2CBF"/>
    <w:rPr>
      <w:color w:val="0563C1" w:themeColor="hyperlink"/>
      <w:u w:val="single"/>
    </w:rPr>
  </w:style>
  <w:style w:type="character" w:styleId="UnresolvedMention">
    <w:name w:val="Unresolved Mention"/>
    <w:basedOn w:val="DefaultParagraphFont"/>
    <w:uiPriority w:val="99"/>
    <w:semiHidden/>
    <w:unhideWhenUsed/>
    <w:rsid w:val="000D2CBF"/>
    <w:rPr>
      <w:color w:val="605E5C"/>
      <w:shd w:val="clear" w:color="auto" w:fill="E1DFDD"/>
    </w:rPr>
  </w:style>
  <w:style w:type="character" w:customStyle="1" w:styleId="fontstyle01">
    <w:name w:val="fontstyle01"/>
    <w:basedOn w:val="DefaultParagraphFont"/>
    <w:rsid w:val="00F149AF"/>
    <w:rPr>
      <w:rFonts w:ascii="TimesNewRomanPSMT" w:hAnsi="TimesNewRomanPSMT" w:hint="default"/>
      <w:b w:val="0"/>
      <w:bCs w:val="0"/>
      <w:i w:val="0"/>
      <w:iCs w:val="0"/>
      <w:color w:val="000000"/>
      <w:sz w:val="24"/>
      <w:szCs w:val="24"/>
    </w:rPr>
  </w:style>
  <w:style w:type="character" w:styleId="FootnoteReference">
    <w:name w:val="footnote reference"/>
    <w:basedOn w:val="DefaultParagraphFont"/>
    <w:unhideWhenUsed/>
    <w:rsid w:val="00324647"/>
    <w:rPr>
      <w:vertAlign w:val="superscript"/>
    </w:rPr>
  </w:style>
  <w:style w:type="character" w:styleId="CommentReference">
    <w:name w:val="annotation reference"/>
    <w:basedOn w:val="DefaultParagraphFont"/>
    <w:uiPriority w:val="99"/>
    <w:semiHidden/>
    <w:unhideWhenUsed/>
    <w:rsid w:val="009E376D"/>
    <w:rPr>
      <w:sz w:val="16"/>
      <w:szCs w:val="16"/>
    </w:rPr>
  </w:style>
  <w:style w:type="paragraph" w:styleId="CommentText">
    <w:name w:val="annotation text"/>
    <w:basedOn w:val="Normal"/>
    <w:link w:val="CommentTextChar"/>
    <w:uiPriority w:val="99"/>
    <w:unhideWhenUsed/>
    <w:rsid w:val="009E376D"/>
    <w:pPr>
      <w:spacing w:line="240" w:lineRule="auto"/>
    </w:pPr>
    <w:rPr>
      <w:sz w:val="20"/>
      <w:szCs w:val="20"/>
    </w:rPr>
  </w:style>
  <w:style w:type="character" w:customStyle="1" w:styleId="CommentTextChar">
    <w:name w:val="Comment Text Char"/>
    <w:basedOn w:val="DefaultParagraphFont"/>
    <w:link w:val="CommentText"/>
    <w:uiPriority w:val="99"/>
    <w:rsid w:val="009E376D"/>
    <w:rPr>
      <w:sz w:val="20"/>
      <w:szCs w:val="20"/>
    </w:rPr>
  </w:style>
  <w:style w:type="paragraph" w:styleId="CommentSubject">
    <w:name w:val="annotation subject"/>
    <w:basedOn w:val="CommentText"/>
    <w:next w:val="CommentText"/>
    <w:link w:val="CommentSubjectChar"/>
    <w:uiPriority w:val="99"/>
    <w:semiHidden/>
    <w:unhideWhenUsed/>
    <w:rsid w:val="009E376D"/>
    <w:rPr>
      <w:b/>
      <w:bCs/>
    </w:rPr>
  </w:style>
  <w:style w:type="character" w:customStyle="1" w:styleId="CommentSubjectChar">
    <w:name w:val="Comment Subject Char"/>
    <w:basedOn w:val="CommentTextChar"/>
    <w:link w:val="CommentSubject"/>
    <w:uiPriority w:val="99"/>
    <w:semiHidden/>
    <w:rsid w:val="009E376D"/>
    <w:rPr>
      <w:b/>
      <w:bCs/>
      <w:sz w:val="20"/>
      <w:szCs w:val="20"/>
    </w:rPr>
  </w:style>
  <w:style w:type="character" w:styleId="Mention">
    <w:name w:val="Mention"/>
    <w:basedOn w:val="DefaultParagraphFont"/>
    <w:uiPriority w:val="99"/>
    <w:unhideWhenUsed/>
    <w:rsid w:val="009E376D"/>
    <w:rPr>
      <w:color w:val="2B579A"/>
      <w:shd w:val="clear" w:color="auto" w:fill="E1DFDD"/>
    </w:rPr>
  </w:style>
  <w:style w:type="paragraph" w:styleId="Revision">
    <w:name w:val="Revision"/>
    <w:hidden/>
    <w:uiPriority w:val="99"/>
    <w:semiHidden/>
    <w:rsid w:val="004A1DB1"/>
    <w:pPr>
      <w:spacing w:after="0" w:line="240" w:lineRule="auto"/>
    </w:pPr>
  </w:style>
  <w:style w:type="character" w:customStyle="1" w:styleId="ui-provider">
    <w:name w:val="ui-provider"/>
    <w:rsid w:val="004A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90418">
      <w:bodyDiv w:val="1"/>
      <w:marLeft w:val="0"/>
      <w:marRight w:val="0"/>
      <w:marTop w:val="0"/>
      <w:marBottom w:val="0"/>
      <w:divBdr>
        <w:top w:val="none" w:sz="0" w:space="0" w:color="auto"/>
        <w:left w:val="none" w:sz="0" w:space="0" w:color="auto"/>
        <w:bottom w:val="none" w:sz="0" w:space="0" w:color="auto"/>
        <w:right w:val="none" w:sz="0" w:space="0" w:color="auto"/>
      </w:divBdr>
    </w:div>
    <w:div w:id="975452058">
      <w:bodyDiv w:val="1"/>
      <w:marLeft w:val="0"/>
      <w:marRight w:val="0"/>
      <w:marTop w:val="0"/>
      <w:marBottom w:val="0"/>
      <w:divBdr>
        <w:top w:val="none" w:sz="0" w:space="0" w:color="auto"/>
        <w:left w:val="none" w:sz="0" w:space="0" w:color="auto"/>
        <w:bottom w:val="none" w:sz="0" w:space="0" w:color="auto"/>
        <w:right w:val="none" w:sz="0" w:space="0" w:color="auto"/>
      </w:divBdr>
    </w:div>
    <w:div w:id="1053776099">
      <w:bodyDiv w:val="1"/>
      <w:marLeft w:val="0"/>
      <w:marRight w:val="0"/>
      <w:marTop w:val="0"/>
      <w:marBottom w:val="0"/>
      <w:divBdr>
        <w:top w:val="none" w:sz="0" w:space="0" w:color="auto"/>
        <w:left w:val="none" w:sz="0" w:space="0" w:color="auto"/>
        <w:bottom w:val="none" w:sz="0" w:space="0" w:color="auto"/>
        <w:right w:val="none" w:sz="0" w:space="0" w:color="auto"/>
      </w:divBdr>
    </w:div>
    <w:div w:id="1465848038">
      <w:bodyDiv w:val="1"/>
      <w:marLeft w:val="0"/>
      <w:marRight w:val="0"/>
      <w:marTop w:val="0"/>
      <w:marBottom w:val="0"/>
      <w:divBdr>
        <w:top w:val="none" w:sz="0" w:space="0" w:color="auto"/>
        <w:left w:val="none" w:sz="0" w:space="0" w:color="auto"/>
        <w:bottom w:val="none" w:sz="0" w:space="0" w:color="auto"/>
        <w:right w:val="none" w:sz="0" w:space="0" w:color="auto"/>
      </w:divBdr>
    </w:div>
    <w:div w:id="1578202048">
      <w:bodyDiv w:val="1"/>
      <w:marLeft w:val="0"/>
      <w:marRight w:val="0"/>
      <w:marTop w:val="0"/>
      <w:marBottom w:val="0"/>
      <w:divBdr>
        <w:top w:val="none" w:sz="0" w:space="0" w:color="auto"/>
        <w:left w:val="none" w:sz="0" w:space="0" w:color="auto"/>
        <w:bottom w:val="none" w:sz="0" w:space="0" w:color="auto"/>
        <w:right w:val="none" w:sz="0" w:space="0" w:color="auto"/>
      </w:divBdr>
    </w:div>
    <w:div w:id="1846892850">
      <w:bodyDiv w:val="1"/>
      <w:marLeft w:val="0"/>
      <w:marRight w:val="0"/>
      <w:marTop w:val="0"/>
      <w:marBottom w:val="0"/>
      <w:divBdr>
        <w:top w:val="none" w:sz="0" w:space="0" w:color="auto"/>
        <w:left w:val="none" w:sz="0" w:space="0" w:color="auto"/>
        <w:bottom w:val="none" w:sz="0" w:space="0" w:color="auto"/>
        <w:right w:val="none" w:sz="0" w:space="0" w:color="auto"/>
      </w:divBdr>
    </w:div>
    <w:div w:id="19088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LEGAL!12321157.1</documentid>
  <senderid>BRITTA.RETEL</senderid>
  <senderemail>BRITTA.RETEL@SORAINEN.COM</senderemail>
  <lastmodified>2025-04-28T14:36:00.0000000+03:00</lastmodified>
  <database>LEGAL</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10FB3853D56240A21562BDCC9DBA24" ma:contentTypeVersion="13" ma:contentTypeDescription="Create a new document." ma:contentTypeScope="" ma:versionID="ce9e9a67273bf7829cc0b1a1ecb155f9">
  <xsd:schema xmlns:xsd="http://www.w3.org/2001/XMLSchema" xmlns:xs="http://www.w3.org/2001/XMLSchema" xmlns:p="http://schemas.microsoft.com/office/2006/metadata/properties" xmlns:ns2="3faff76a-81b4-4651-af37-1f4d190e14fb" xmlns:ns3="26c82b52-c569-4716-a58c-acb53fd33c5f" targetNamespace="http://schemas.microsoft.com/office/2006/metadata/properties" ma:root="true" ma:fieldsID="d605c574910556cbbae3338e3efd4865" ns2:_="" ns3:_="">
    <xsd:import namespace="3faff76a-81b4-4651-af37-1f4d190e14fb"/>
    <xsd:import namespace="26c82b52-c569-4716-a58c-acb53fd33c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ff76a-81b4-4651-af37-1f4d190e1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652834-d080-4f3b-b1a8-1f0c899e9d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82b52-c569-4716-a58c-acb53fd33c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4fe50c-8c54-47f6-b47a-30d9f2eb2cf5}" ma:internalName="TaxCatchAll" ma:showField="CatchAllData" ma:web="26c82b52-c569-4716-a58c-acb53fd33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c82b52-c569-4716-a58c-acb53fd33c5f" xsi:nil="true"/>
    <lcf76f155ced4ddcb4097134ff3c332f xmlns="3faff76a-81b4-4651-af37-1f4d190e14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A1343C-A6FB-401D-82DA-DD297C236C78}">
  <ds:schemaRefs>
    <ds:schemaRef ds:uri="http://www.imanage.com/work/xmlschema"/>
  </ds:schemaRefs>
</ds:datastoreItem>
</file>

<file path=customXml/itemProps2.xml><?xml version="1.0" encoding="utf-8"?>
<ds:datastoreItem xmlns:ds="http://schemas.openxmlformats.org/officeDocument/2006/customXml" ds:itemID="{52083590-001B-4144-AAD8-797D68FFF9FE}"/>
</file>

<file path=customXml/itemProps3.xml><?xml version="1.0" encoding="utf-8"?>
<ds:datastoreItem xmlns:ds="http://schemas.openxmlformats.org/officeDocument/2006/customXml" ds:itemID="{DEFFDFDC-AB19-41DC-A7C6-7BA49A0D89A8}"/>
</file>

<file path=customXml/itemProps4.xml><?xml version="1.0" encoding="utf-8"?>
<ds:datastoreItem xmlns:ds="http://schemas.openxmlformats.org/officeDocument/2006/customXml" ds:itemID="{FD9A9A1C-E224-4B26-9F6C-85606AB223D1}"/>
</file>

<file path=docProps/app.xml><?xml version="1.0" encoding="utf-8"?>
<Properties xmlns="http://schemas.openxmlformats.org/officeDocument/2006/extended-properties" xmlns:vt="http://schemas.openxmlformats.org/officeDocument/2006/docPropsVTypes">
  <Template>Normal</Template>
  <TotalTime>0</TotalTime>
  <Pages>7</Pages>
  <Words>2902</Words>
  <Characters>19781</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2025-04-28T13:32:00Z</dcterms:created>
  <dcterms:modified xsi:type="dcterms:W3CDTF">2025-04-28T13:32:00Z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c38e8dc3ad037be875501e061951d4846b83abca163489cb4a77610177566995</vt:lpwstr>
  </property>
  <property fmtid="{D5CDD505-2E9C-101B-9397-08002B2CF9AE}" pid="3" name="ContentTypeId">
    <vt:lpwstr>0x010100C510FB3853D56240A21562BDCC9DBA24</vt:lpwstr>
  </property>
</Properties>
</file>